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8B83B">
      <w:pPr>
        <w:jc w:val="center"/>
        <w:rPr>
          <w:rFonts w:hint="eastAsia" w:cs="Times New Roman" w:asciiTheme="majorEastAsia" w:hAnsiTheme="majorEastAsia" w:eastAsiaTheme="majorEastAsia"/>
          <w:b/>
          <w:color w:val="000000"/>
          <w:sz w:val="80"/>
          <w:szCs w:val="80"/>
        </w:rPr>
      </w:pPr>
    </w:p>
    <w:p w14:paraId="426068AE">
      <w:pPr>
        <w:jc w:val="center"/>
        <w:rPr>
          <w:rFonts w:hint="eastAsia" w:cs="Times New Roman" w:asciiTheme="majorEastAsia" w:hAnsiTheme="majorEastAsia" w:eastAsiaTheme="majorEastAsia"/>
          <w:b/>
          <w:color w:val="000000"/>
          <w:sz w:val="80"/>
          <w:szCs w:val="80"/>
        </w:rPr>
      </w:pPr>
      <w:r>
        <w:rPr>
          <w:rFonts w:hint="eastAsia" w:cs="Times New Roman" w:asciiTheme="majorEastAsia" w:hAnsiTheme="majorEastAsia" w:eastAsiaTheme="majorEastAsia"/>
          <w:b/>
          <w:color w:val="000000"/>
          <w:sz w:val="80"/>
          <w:szCs w:val="80"/>
        </w:rPr>
        <w:t>质量诚信报告</w:t>
      </w:r>
    </w:p>
    <w:p w14:paraId="079CAC5D">
      <w:pPr>
        <w:jc w:val="center"/>
        <w:rPr>
          <w:rFonts w:hint="eastAsia" w:cs="Times New Roman" w:asciiTheme="majorEastAsia" w:hAnsiTheme="majorEastAsia" w:eastAsiaTheme="majorEastAsia"/>
          <w:b/>
          <w:color w:val="000000"/>
          <w:sz w:val="80"/>
          <w:szCs w:val="80"/>
        </w:rPr>
      </w:pPr>
      <w:r>
        <w:rPr>
          <w:rFonts w:cs="Times New Roman" w:asciiTheme="majorEastAsia" w:hAnsiTheme="majorEastAsia" w:eastAsiaTheme="majorEastAsia"/>
          <w:b/>
          <w:color w:val="000000"/>
          <w:sz w:val="80"/>
          <w:szCs w:val="80"/>
        </w:rPr>
        <w:t>（</w:t>
      </w:r>
      <w:r>
        <w:rPr>
          <w:rFonts w:hint="eastAsia" w:cs="Times New Roman" w:asciiTheme="majorEastAsia" w:hAnsiTheme="majorEastAsia" w:eastAsiaTheme="majorEastAsia"/>
          <w:b/>
          <w:color w:val="000000"/>
          <w:sz w:val="80"/>
          <w:szCs w:val="80"/>
        </w:rPr>
        <w:t>202</w:t>
      </w:r>
      <w:r>
        <w:rPr>
          <w:rFonts w:hint="eastAsia" w:cs="Times New Roman" w:asciiTheme="majorEastAsia" w:hAnsiTheme="majorEastAsia" w:eastAsiaTheme="majorEastAsia"/>
          <w:b/>
          <w:color w:val="000000"/>
          <w:sz w:val="80"/>
          <w:szCs w:val="80"/>
          <w:lang w:val="en-US" w:eastAsia="zh-CN"/>
        </w:rPr>
        <w:t>6</w:t>
      </w:r>
      <w:r>
        <w:rPr>
          <w:rFonts w:hint="eastAsia" w:cs="Times New Roman" w:asciiTheme="majorEastAsia" w:hAnsiTheme="majorEastAsia" w:eastAsiaTheme="majorEastAsia"/>
          <w:b/>
          <w:color w:val="000000"/>
          <w:sz w:val="80"/>
          <w:szCs w:val="80"/>
        </w:rPr>
        <w:t>年</w:t>
      </w:r>
      <w:r>
        <w:rPr>
          <w:rFonts w:cs="Times New Roman" w:asciiTheme="majorEastAsia" w:hAnsiTheme="majorEastAsia" w:eastAsiaTheme="majorEastAsia"/>
          <w:b/>
          <w:color w:val="000000"/>
          <w:sz w:val="80"/>
          <w:szCs w:val="80"/>
        </w:rPr>
        <w:t>）</w:t>
      </w:r>
    </w:p>
    <w:p w14:paraId="208D1466">
      <w:pPr>
        <w:jc w:val="center"/>
        <w:rPr>
          <w:rFonts w:hint="eastAsia" w:cs="Times New Roman" w:asciiTheme="majorEastAsia" w:hAnsiTheme="majorEastAsia" w:eastAsiaTheme="majorEastAsia"/>
          <w:b/>
          <w:color w:val="000000"/>
          <w:sz w:val="36"/>
          <w:szCs w:val="36"/>
        </w:rPr>
      </w:pPr>
    </w:p>
    <w:p w14:paraId="5F5451C3">
      <w:pPr>
        <w:jc w:val="center"/>
        <w:rPr>
          <w:rFonts w:hint="eastAsia" w:cs="Times New Roman" w:asciiTheme="majorEastAsia" w:hAnsiTheme="majorEastAsia" w:eastAsiaTheme="majorEastAsia"/>
          <w:b/>
          <w:color w:val="000000"/>
          <w:sz w:val="36"/>
          <w:szCs w:val="36"/>
        </w:rPr>
      </w:pPr>
    </w:p>
    <w:p w14:paraId="40D19555">
      <w:pPr>
        <w:jc w:val="center"/>
        <w:rPr>
          <w:rFonts w:hint="eastAsia" w:cs="Times New Roman" w:asciiTheme="majorEastAsia" w:hAnsiTheme="majorEastAsia" w:eastAsiaTheme="majorEastAsia"/>
          <w:b/>
          <w:color w:val="000000"/>
          <w:sz w:val="36"/>
          <w:szCs w:val="36"/>
        </w:rPr>
      </w:pPr>
    </w:p>
    <w:p w14:paraId="435AC282">
      <w:pPr>
        <w:jc w:val="center"/>
        <w:rPr>
          <w:rFonts w:hint="eastAsia" w:cs="Times New Roman" w:asciiTheme="majorEastAsia" w:hAnsiTheme="majorEastAsia" w:eastAsiaTheme="majorEastAsia"/>
          <w:b/>
          <w:color w:val="000000"/>
          <w:sz w:val="36"/>
          <w:szCs w:val="36"/>
        </w:rPr>
      </w:pPr>
    </w:p>
    <w:p w14:paraId="0BE4CCE5">
      <w:pPr>
        <w:autoSpaceDE w:val="0"/>
        <w:autoSpaceDN w:val="0"/>
        <w:jc w:val="center"/>
        <w:rPr>
          <w:rFonts w:hint="eastAsia" w:cs="宋体" w:asciiTheme="majorEastAsia" w:hAnsiTheme="majorEastAsia" w:eastAsiaTheme="majorEastAsia"/>
          <w:kern w:val="0"/>
          <w:sz w:val="36"/>
        </w:rPr>
      </w:pPr>
    </w:p>
    <w:p w14:paraId="63953499">
      <w:pPr>
        <w:autoSpaceDE w:val="0"/>
        <w:autoSpaceDN w:val="0"/>
        <w:jc w:val="center"/>
        <w:rPr>
          <w:rFonts w:hint="eastAsia" w:cs="微软雅黑" w:asciiTheme="majorEastAsia" w:hAnsiTheme="majorEastAsia" w:eastAsiaTheme="majorEastAsia"/>
          <w:b/>
          <w:kern w:val="0"/>
          <w:sz w:val="36"/>
          <w:szCs w:val="32"/>
        </w:rPr>
      </w:pPr>
      <w:r>
        <w:rPr>
          <w:rFonts w:hint="eastAsia" w:cs="微软雅黑" w:asciiTheme="majorEastAsia" w:hAnsiTheme="majorEastAsia" w:eastAsiaTheme="majorEastAsia"/>
          <w:b/>
          <w:kern w:val="0"/>
          <w:sz w:val="36"/>
          <w:szCs w:val="32"/>
        </w:rPr>
        <w:t>浙江旨恒机床有限公司</w:t>
      </w:r>
    </w:p>
    <w:p w14:paraId="6E0FAF64">
      <w:pPr>
        <w:autoSpaceDE w:val="0"/>
        <w:autoSpaceDN w:val="0"/>
        <w:jc w:val="center"/>
        <w:rPr>
          <w:rFonts w:hint="eastAsia" w:ascii="黑体" w:hAnsi="黑体" w:eastAsia="黑体" w:cs="微软雅黑"/>
          <w:kern w:val="0"/>
          <w:sz w:val="32"/>
          <w:szCs w:val="32"/>
        </w:rPr>
      </w:pPr>
      <w:r>
        <w:rPr>
          <w:rFonts w:hint="eastAsia" w:cs="微软雅黑" w:asciiTheme="majorEastAsia" w:hAnsiTheme="majorEastAsia" w:eastAsiaTheme="majorEastAsia"/>
          <w:b/>
          <w:kern w:val="0"/>
          <w:sz w:val="36"/>
          <w:szCs w:val="32"/>
        </w:rPr>
        <w:t>202</w:t>
      </w:r>
      <w:r>
        <w:rPr>
          <w:rFonts w:hint="eastAsia" w:cs="微软雅黑" w:asciiTheme="majorEastAsia" w:hAnsiTheme="majorEastAsia" w:eastAsiaTheme="majorEastAsia"/>
          <w:b/>
          <w:kern w:val="0"/>
          <w:sz w:val="36"/>
          <w:szCs w:val="32"/>
          <w:lang w:val="en-US" w:eastAsia="zh-CN"/>
        </w:rPr>
        <w:t>6</w:t>
      </w:r>
      <w:r>
        <w:rPr>
          <w:rFonts w:hint="eastAsia" w:cs="微软雅黑" w:asciiTheme="majorEastAsia" w:hAnsiTheme="majorEastAsia" w:eastAsiaTheme="majorEastAsia"/>
          <w:b/>
          <w:kern w:val="0"/>
          <w:sz w:val="36"/>
          <w:szCs w:val="32"/>
        </w:rPr>
        <w:t>年05月</w:t>
      </w:r>
    </w:p>
    <w:p w14:paraId="6AC8790D">
      <w:pPr>
        <w:rPr>
          <w:rFonts w:hint="eastAsia" w:ascii="宋体" w:hAnsi="宋体" w:cs="宋体"/>
          <w:b/>
          <w:bCs/>
          <w:color w:val="000000"/>
          <w:kern w:val="32"/>
          <w:sz w:val="28"/>
          <w:szCs w:val="28"/>
        </w:rPr>
        <w:sectPr>
          <w:footerReference r:id="rId3" w:type="default"/>
          <w:pgSz w:w="11906" w:h="16838"/>
          <w:pgMar w:top="1440" w:right="1800" w:bottom="1440" w:left="1800" w:header="851" w:footer="992" w:gutter="0"/>
          <w:cols w:space="425" w:num="1"/>
          <w:titlePg/>
          <w:docGrid w:type="lines" w:linePitch="312" w:charSpace="0"/>
        </w:sectPr>
      </w:pPr>
      <w:r>
        <w:rPr>
          <w:rFonts w:hint="eastAsia" w:ascii="宋体" w:hAnsi="宋体" w:cs="宋体"/>
          <w:b/>
          <w:bCs/>
          <w:color w:val="000000"/>
          <w:kern w:val="32"/>
          <w:sz w:val="28"/>
          <w:szCs w:val="28"/>
        </w:rPr>
        <w:br w:type="page"/>
      </w:r>
    </w:p>
    <w:p w14:paraId="27D8CCF4">
      <w:pPr>
        <w:spacing w:before="312" w:beforeLines="100" w:after="312" w:afterLines="100" w:line="360" w:lineRule="auto"/>
        <w:jc w:val="center"/>
        <w:outlineLvl w:val="0"/>
        <w:rPr>
          <w:rFonts w:hint="eastAsia" w:ascii="黑体" w:hAnsi="黑体" w:eastAsia="黑体" w:cs="楷体"/>
          <w:bCs/>
          <w:color w:val="000000"/>
          <w:kern w:val="32"/>
          <w:sz w:val="32"/>
          <w:szCs w:val="40"/>
        </w:rPr>
      </w:pPr>
      <w:bookmarkStart w:id="0" w:name="_Toc48809460"/>
      <w:bookmarkStart w:id="1" w:name="_Toc11669253"/>
      <w:r>
        <w:rPr>
          <w:rFonts w:hint="eastAsia" w:ascii="黑体" w:hAnsi="黑体" w:eastAsia="黑体" w:cs="楷体"/>
          <w:bCs/>
          <w:color w:val="000000"/>
          <w:kern w:val="32"/>
          <w:sz w:val="32"/>
          <w:szCs w:val="40"/>
        </w:rPr>
        <w:t>第一部分 前言</w:t>
      </w:r>
      <w:bookmarkEnd w:id="0"/>
    </w:p>
    <w:p w14:paraId="433B6F67">
      <w:pPr>
        <w:spacing w:line="360" w:lineRule="auto"/>
        <w:jc w:val="left"/>
        <w:outlineLvl w:val="1"/>
        <w:rPr>
          <w:rFonts w:hint="eastAsia" w:ascii="宋体" w:hAnsi="宋体" w:eastAsia="宋体" w:cs="楷体"/>
          <w:b/>
          <w:color w:val="000000"/>
          <w:sz w:val="28"/>
          <w:szCs w:val="36"/>
        </w:rPr>
      </w:pPr>
      <w:bookmarkStart w:id="2" w:name="_Toc48809461"/>
      <w:r>
        <w:rPr>
          <w:rFonts w:hint="eastAsia" w:ascii="宋体" w:hAnsi="宋体" w:eastAsia="宋体" w:cs="楷体"/>
          <w:b/>
          <w:color w:val="000000"/>
          <w:sz w:val="28"/>
          <w:szCs w:val="36"/>
        </w:rPr>
        <w:t>一、报告编制规范</w:t>
      </w:r>
      <w:bookmarkEnd w:id="2"/>
    </w:p>
    <w:p w14:paraId="5A2D9630">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rPr>
        <w:t>公司</w:t>
      </w:r>
      <w:r>
        <w:rPr>
          <w:rFonts w:hint="eastAsia" w:ascii="宋体" w:hAnsi="宋体" w:eastAsia="宋体" w:cs="微软雅黑"/>
          <w:color w:val="000000"/>
          <w:spacing w:val="-4"/>
          <w:sz w:val="24"/>
          <w:szCs w:val="28"/>
        </w:rPr>
        <w:t>严格遵守国家有关法律、法规及行业标准、规程，依据客观性、时效性、可验性的原则编制《浙江旨恒机床有限公司 202</w:t>
      </w:r>
      <w:r>
        <w:rPr>
          <w:rFonts w:hint="eastAsia" w:ascii="宋体" w:hAnsi="宋体" w:eastAsia="宋体" w:cs="微软雅黑"/>
          <w:color w:val="000000"/>
          <w:spacing w:val="-4"/>
          <w:sz w:val="24"/>
          <w:szCs w:val="28"/>
          <w:lang w:val="en-US" w:eastAsia="zh-CN"/>
        </w:rPr>
        <w:t>5</w:t>
      </w:r>
      <w:bookmarkStart w:id="33" w:name="_GoBack"/>
      <w:bookmarkEnd w:id="33"/>
      <w:r>
        <w:rPr>
          <w:rFonts w:hint="eastAsia" w:ascii="宋体" w:hAnsi="宋体" w:eastAsia="宋体" w:cs="微软雅黑"/>
          <w:color w:val="000000"/>
          <w:spacing w:val="-4"/>
          <w:sz w:val="24"/>
          <w:szCs w:val="28"/>
        </w:rPr>
        <w:t>年度质量诚信报告》，旨在使社会各界了解本公司的社会责任的理念和工作开展情况。</w:t>
      </w:r>
    </w:p>
    <w:p w14:paraId="21E78C20">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本报告综合评价了公司在质量诚信体系建设的基本情况，是公司贯彻落实国务院《质量发展纲要（2011-2020）》，增强质量诚信自律意识、建立健全质量安全长效机制取得的丰硕成果。</w:t>
      </w:r>
    </w:p>
    <w:p w14:paraId="4AF7758D">
      <w:pPr>
        <w:spacing w:line="360" w:lineRule="auto"/>
        <w:ind w:firstLine="466" w:firstLineChars="200"/>
        <w:jc w:val="left"/>
        <w:outlineLvl w:val="2"/>
        <w:rPr>
          <w:rFonts w:hint="eastAsia" w:ascii="宋体" w:hAnsi="宋体" w:eastAsia="宋体" w:cs="微软雅黑"/>
          <w:b/>
          <w:color w:val="000000"/>
          <w:spacing w:val="-4"/>
          <w:sz w:val="24"/>
          <w:szCs w:val="28"/>
        </w:rPr>
      </w:pPr>
      <w:r>
        <w:rPr>
          <w:rFonts w:hint="eastAsia" w:ascii="宋体" w:hAnsi="宋体" w:eastAsia="宋体" w:cs="微软雅黑"/>
          <w:b/>
          <w:color w:val="000000"/>
          <w:spacing w:val="-4"/>
          <w:sz w:val="24"/>
          <w:szCs w:val="28"/>
        </w:rPr>
        <w:t>（一）报告范围</w:t>
      </w:r>
    </w:p>
    <w:bookmarkEnd w:id="1"/>
    <w:p w14:paraId="12657878">
      <w:pPr>
        <w:spacing w:line="360" w:lineRule="auto"/>
        <w:ind w:firstLine="464" w:firstLineChars="200"/>
        <w:jc w:val="left"/>
        <w:rPr>
          <w:rFonts w:hint="eastAsia" w:ascii="宋体" w:hAnsi="宋体" w:eastAsia="宋体" w:cs="微软雅黑"/>
          <w:color w:val="000000"/>
          <w:spacing w:val="-4"/>
          <w:sz w:val="24"/>
          <w:szCs w:val="28"/>
        </w:rPr>
      </w:pPr>
      <w:r>
        <w:rPr>
          <w:rFonts w:ascii="宋体" w:hAnsi="宋体" w:eastAsia="宋体" w:cs="微软雅黑"/>
          <w:color w:val="000000"/>
          <w:spacing w:val="-4"/>
          <w:sz w:val="24"/>
          <w:szCs w:val="28"/>
        </w:rPr>
        <w:t>报告的组织范围：</w:t>
      </w:r>
      <w:r>
        <w:rPr>
          <w:rFonts w:hint="eastAsia" w:ascii="宋体" w:hAnsi="宋体" w:eastAsia="宋体" w:cs="微软雅黑"/>
          <w:color w:val="000000"/>
          <w:spacing w:val="-4"/>
          <w:sz w:val="24"/>
          <w:szCs w:val="28"/>
        </w:rPr>
        <w:t>浙江旨恒机床有限公司</w:t>
      </w:r>
    </w:p>
    <w:p w14:paraId="59CB49B1">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报告的编制依据：GB/T 29467-2012《企业质量诚信管理实施规范》、GB/T 31870-2015《企业质量信用报告编写指南》</w:t>
      </w:r>
    </w:p>
    <w:p w14:paraId="66D6EAAF">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报告的时间范围：202</w:t>
      </w:r>
      <w:r>
        <w:rPr>
          <w:rFonts w:hint="eastAsia" w:ascii="宋体" w:hAnsi="宋体" w:eastAsia="宋体" w:cs="微软雅黑"/>
          <w:color w:val="000000"/>
          <w:spacing w:val="-4"/>
          <w:sz w:val="24"/>
          <w:szCs w:val="28"/>
          <w:lang w:val="en-US" w:eastAsia="zh-CN"/>
        </w:rPr>
        <w:t>5</w:t>
      </w:r>
      <w:r>
        <w:rPr>
          <w:rFonts w:hint="eastAsia" w:ascii="宋体" w:hAnsi="宋体" w:eastAsia="宋体" w:cs="微软雅黑"/>
          <w:color w:val="000000"/>
          <w:spacing w:val="-4"/>
          <w:sz w:val="24"/>
          <w:szCs w:val="28"/>
        </w:rPr>
        <w:t>年1月-12月</w:t>
      </w:r>
    </w:p>
    <w:p w14:paraId="5DF61E2E">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报告的发布周期：年度发布</w:t>
      </w:r>
    </w:p>
    <w:p w14:paraId="45F0A60C">
      <w:pPr>
        <w:spacing w:line="360" w:lineRule="auto"/>
        <w:ind w:firstLine="466" w:firstLineChars="200"/>
        <w:jc w:val="left"/>
        <w:outlineLvl w:val="2"/>
        <w:rPr>
          <w:rFonts w:hint="eastAsia" w:ascii="宋体" w:hAnsi="宋体" w:eastAsia="宋体" w:cs="微软雅黑"/>
          <w:b/>
          <w:color w:val="000000"/>
          <w:spacing w:val="-4"/>
          <w:sz w:val="24"/>
          <w:szCs w:val="28"/>
        </w:rPr>
      </w:pPr>
      <w:r>
        <w:rPr>
          <w:rFonts w:hint="eastAsia" w:ascii="宋体" w:hAnsi="宋体" w:eastAsia="宋体" w:cs="微软雅黑"/>
          <w:b/>
          <w:color w:val="000000"/>
          <w:spacing w:val="-4"/>
          <w:sz w:val="24"/>
          <w:szCs w:val="28"/>
        </w:rPr>
        <w:t>（二）报告内容客观性说明</w:t>
      </w:r>
    </w:p>
    <w:p w14:paraId="3C1F044F">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本报告基于综合汇总、整理公司自成立以来的质量诚信工作相关数据，且数据、信息全部真实、可信，本公司对报告内容的客观性负责并主动接受社会监督，特此声明。</w:t>
      </w:r>
    </w:p>
    <w:p w14:paraId="0CF51E66">
      <w:pPr>
        <w:spacing w:before="156" w:beforeLines="50" w:line="360" w:lineRule="auto"/>
        <w:outlineLvl w:val="1"/>
        <w:rPr>
          <w:rFonts w:hint="eastAsia" w:ascii="宋体" w:hAnsi="宋体" w:eastAsia="宋体" w:cs="楷体"/>
          <w:b/>
          <w:color w:val="000000"/>
          <w:sz w:val="28"/>
          <w:szCs w:val="32"/>
        </w:rPr>
      </w:pPr>
      <w:bookmarkStart w:id="3" w:name="_Toc48809462"/>
      <w:bookmarkStart w:id="4" w:name="_Toc11669255"/>
      <w:r>
        <w:rPr>
          <w:rFonts w:hint="eastAsia" w:ascii="宋体" w:hAnsi="宋体" w:eastAsia="宋体" w:cs="楷体"/>
          <w:b/>
          <w:color w:val="000000"/>
          <w:sz w:val="28"/>
          <w:szCs w:val="32"/>
        </w:rPr>
        <w:t>二、致辞</w:t>
      </w:r>
      <w:bookmarkEnd w:id="3"/>
      <w:bookmarkEnd w:id="4"/>
    </w:p>
    <w:p w14:paraId="329BDE69">
      <w:pPr>
        <w:spacing w:line="360" w:lineRule="auto"/>
        <w:ind w:firstLine="464" w:firstLineChars="200"/>
        <w:jc w:val="left"/>
        <w:rPr>
          <w:rFonts w:hint="eastAsia" w:ascii="宋体" w:hAnsi="宋体" w:eastAsia="宋体" w:cs="微软雅黑"/>
          <w:color w:val="000000"/>
          <w:spacing w:val="-4"/>
          <w:sz w:val="24"/>
          <w:szCs w:val="28"/>
        </w:rPr>
      </w:pPr>
      <w:bookmarkStart w:id="5" w:name="_Toc11669257"/>
      <w:bookmarkStart w:id="6" w:name="_Toc451594565"/>
      <w:r>
        <w:rPr>
          <w:rFonts w:hint="eastAsia" w:ascii="宋体" w:hAnsi="宋体" w:eastAsia="宋体" w:cs="微软雅黑"/>
          <w:color w:val="000000"/>
          <w:spacing w:val="-4"/>
          <w:sz w:val="24"/>
          <w:szCs w:val="28"/>
        </w:rPr>
        <w:t>浙江旨恒机床有限公司是一个具有高度社会责任感的公司，在生产经营中尤其注重产品的质量，并始终致力于成为社会所期待的存在以及员工引以为豪的企业。</w:t>
      </w:r>
    </w:p>
    <w:p w14:paraId="20B03431">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我们知道在当代社会中，竞争是激烈的。一个企业在多变的市场条件下，品牌是企业持续成长和贏得顾客忠诚的关键，然而无论多么知名的品牌都需要一流的质量做后盾。无论广告多么有吸引力，包装多么华丽，没有质量保证，都是徒有其表。唯有质量做好了，企业才会为大众所认可。否则，企业寿命也会因此减短。</w:t>
      </w:r>
    </w:p>
    <w:p w14:paraId="22CF11AC">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旨恒机床的发展离不开公司全体员工的不懈努力奋斗，离不开国家以及社会各界的关注和支持，更离不开所有客户的厚爱和信赖。为此，我们将一如既往，求实创新。在提供优质产品的同时，不断提升自身实力，成为一家兼具市场竞争力和社会责任感的优秀企业。</w:t>
      </w:r>
    </w:p>
    <w:p w14:paraId="7CE5AD1A">
      <w:pPr>
        <w:spacing w:before="156" w:beforeLines="50" w:line="360" w:lineRule="auto"/>
        <w:outlineLvl w:val="1"/>
        <w:rPr>
          <w:rFonts w:hint="eastAsia" w:ascii="宋体" w:hAnsi="宋体" w:eastAsia="宋体" w:cs="楷体"/>
          <w:b/>
          <w:color w:val="000000"/>
          <w:sz w:val="28"/>
          <w:szCs w:val="36"/>
        </w:rPr>
      </w:pPr>
      <w:bookmarkStart w:id="7" w:name="_Toc48809463"/>
      <w:r>
        <w:rPr>
          <w:rFonts w:hint="eastAsia" w:ascii="宋体" w:hAnsi="宋体" w:eastAsia="宋体" w:cs="楷体"/>
          <w:b/>
          <w:color w:val="000000"/>
          <w:sz w:val="28"/>
          <w:szCs w:val="36"/>
        </w:rPr>
        <w:t>三、公司简介</w:t>
      </w:r>
      <w:bookmarkEnd w:id="5"/>
      <w:bookmarkEnd w:id="6"/>
      <w:bookmarkEnd w:id="7"/>
    </w:p>
    <w:p w14:paraId="122EB270">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浙江旨恒机床有限公司，于2015年成立，是填补国内空白将电主轴应用在数控车床上，是我国电主轴车铣复合机床标杆制造商，是集研发、生产、销售、服务为一体的高新技术企业。我们通过工艺整合优化，减少后续二次装夹，减少设备，减少人员以及制造环节不断优化，为客户提供电主轴车铣钻攻镗以及代磨的结合工艺的全程解决方案。经过多年的不懈努力，我们目前拥有业界先进的工作母机，自主研发设计能力，自主制造核心功能部件能力，综合交钥匙工程能力，在温岭东部新区建成了占地面积2万平方米的产业基地，拥有员工110余人。</w:t>
      </w:r>
    </w:p>
    <w:p w14:paraId="24802D0F">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成立至今，一直秉承“以技术为先导，创新产品为基础，综合服务为支撑”的理念，帮助客户快速提升竞争力。从引进和消化吸收国外的技术开始，到创新开发具有自主知识产权的技术，公司积极学习国外企业的各项经验，积极关注机床设计与制造的点滴细节，从基础材料研究、机床结构设计、核心部件制造技术、精密装配技术、加工应用技术等多个方面展开深入细致的研究，掌握了精密数控机床设计与制造的全套关键技术，拥有多个国家发明和新型实用专利。</w:t>
      </w:r>
    </w:p>
    <w:p w14:paraId="644D5F08">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多年来，我们凭借行业深耕与积淀，利用优质高端客户的独特优势，引进技术和管理经验，建立科学协同研发机制，闯出了一条开放发展之路。</w:t>
      </w:r>
    </w:p>
    <w:p w14:paraId="074393CC">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目前，我们拥有四大经典系列产品：电主轴车铣复合机床系列，电主轴车铣复合单机自动化系列，电主轴车铣复合高端无人自动化系列以及电主轴机床单机自动化系列，被广泛应用于汽车产业、新能源产业，精密机械零件、航空航天、电子信息产业、国防工业等领域。鉴于其实现了车削方面的高效率、高精度、高稳定可靠性的加工要求，其综合性能方面的出色表现已达到业内高端水准，受到各行业客户的普遍认可。</w:t>
      </w:r>
    </w:p>
    <w:p w14:paraId="46899D13">
      <w:pPr>
        <w:widowControl/>
        <w:jc w:val="left"/>
        <w:rPr>
          <w:rFonts w:hint="eastAsia" w:ascii="黑体" w:hAnsi="黑体" w:eastAsia="黑体" w:cs="宋体"/>
          <w:color w:val="000000"/>
          <w:spacing w:val="-4"/>
          <w:sz w:val="32"/>
          <w:szCs w:val="28"/>
        </w:rPr>
      </w:pPr>
      <w:bookmarkStart w:id="8" w:name="_Toc48809464"/>
      <w:r>
        <w:rPr>
          <w:rFonts w:ascii="黑体" w:hAnsi="黑体" w:eastAsia="黑体" w:cs="宋体"/>
          <w:color w:val="000000"/>
          <w:spacing w:val="-4"/>
          <w:sz w:val="32"/>
          <w:szCs w:val="28"/>
        </w:rPr>
        <w:br w:type="page"/>
      </w:r>
    </w:p>
    <w:p w14:paraId="285BC2F0">
      <w:pPr>
        <w:spacing w:before="312" w:beforeLines="100" w:after="312" w:afterLines="100" w:line="360" w:lineRule="auto"/>
        <w:jc w:val="center"/>
        <w:outlineLvl w:val="0"/>
        <w:rPr>
          <w:rFonts w:hint="eastAsia" w:ascii="黑体" w:hAnsi="黑体" w:eastAsia="黑体" w:cs="宋体"/>
          <w:color w:val="000000"/>
          <w:spacing w:val="-4"/>
          <w:sz w:val="32"/>
          <w:szCs w:val="28"/>
        </w:rPr>
      </w:pPr>
      <w:r>
        <w:rPr>
          <w:rFonts w:hint="eastAsia" w:ascii="黑体" w:hAnsi="黑体" w:eastAsia="黑体" w:cs="宋体"/>
          <w:color w:val="000000"/>
          <w:spacing w:val="-4"/>
          <w:sz w:val="32"/>
          <w:szCs w:val="28"/>
        </w:rPr>
        <w:t>第二部分 报告正文</w:t>
      </w:r>
      <w:bookmarkEnd w:id="8"/>
    </w:p>
    <w:p w14:paraId="63522D47">
      <w:pPr>
        <w:spacing w:line="360" w:lineRule="auto"/>
        <w:outlineLvl w:val="1"/>
        <w:rPr>
          <w:rFonts w:hint="eastAsia" w:ascii="宋体" w:hAnsi="宋体" w:eastAsia="宋体" w:cs="微软雅黑"/>
          <w:b/>
          <w:color w:val="000000"/>
          <w:spacing w:val="-4"/>
          <w:sz w:val="28"/>
          <w:szCs w:val="28"/>
        </w:rPr>
      </w:pPr>
      <w:bookmarkStart w:id="9" w:name="_Toc48809465"/>
      <w:r>
        <w:rPr>
          <w:rFonts w:hint="eastAsia" w:ascii="宋体" w:hAnsi="宋体" w:eastAsia="宋体" w:cs="微软雅黑"/>
          <w:b/>
          <w:color w:val="000000"/>
          <w:spacing w:val="-4"/>
          <w:sz w:val="28"/>
          <w:szCs w:val="28"/>
        </w:rPr>
        <w:t>一、企业质量理念</w:t>
      </w:r>
      <w:bookmarkEnd w:id="9"/>
    </w:p>
    <w:p w14:paraId="629FF08E">
      <w:pPr>
        <w:spacing w:line="360" w:lineRule="auto"/>
        <w:ind w:firstLine="464" w:firstLineChars="200"/>
        <w:rPr>
          <w:rFonts w:hint="eastAsia" w:ascii="宋体" w:hAnsi="宋体" w:eastAsia="宋体" w:cs="微软雅黑"/>
          <w:color w:val="000000"/>
          <w:spacing w:val="-4"/>
          <w:sz w:val="24"/>
          <w:szCs w:val="28"/>
        </w:rPr>
      </w:pPr>
      <w:bookmarkStart w:id="10" w:name="_Toc451594567"/>
      <w:bookmarkStart w:id="11" w:name="_Toc11669259"/>
      <w:r>
        <w:rPr>
          <w:rFonts w:hint="eastAsia" w:ascii="宋体" w:hAnsi="宋体" w:eastAsia="宋体" w:cs="微软雅黑"/>
          <w:color w:val="000000"/>
          <w:spacing w:val="-4"/>
          <w:sz w:val="24"/>
          <w:szCs w:val="28"/>
        </w:rPr>
        <w:t>公司以“以质量为根本，以技术求发展；以服务为保证,以满意为目标；预防为主、遵守法规、节能降耗、人文精神，追求工作环境的不断改善”为管理方针，将质量作为企业生存和发展的根本，以过程质量控制为重点，以顾客满意为宗旨，将质量管理理念融入企业整个生产经营中，质量意识深入每一位员工心中并落实到具体的工作中。</w:t>
      </w:r>
    </w:p>
    <w:bookmarkEnd w:id="10"/>
    <w:bookmarkEnd w:id="11"/>
    <w:p w14:paraId="2CDC69C7">
      <w:pPr>
        <w:spacing w:line="360" w:lineRule="auto"/>
        <w:outlineLvl w:val="1"/>
        <w:rPr>
          <w:rFonts w:hint="eastAsia" w:ascii="宋体" w:hAnsi="宋体" w:eastAsia="宋体" w:cs="楷体"/>
          <w:b/>
          <w:color w:val="000000"/>
          <w:sz w:val="28"/>
          <w:szCs w:val="32"/>
        </w:rPr>
      </w:pPr>
      <w:bookmarkStart w:id="12" w:name="_Toc48809466"/>
      <w:r>
        <w:rPr>
          <w:rFonts w:ascii="宋体" w:hAnsi="宋体" w:eastAsia="宋体" w:cs="楷体"/>
          <w:b/>
          <w:color w:val="000000"/>
          <w:sz w:val="28"/>
          <w:szCs w:val="32"/>
        </w:rPr>
        <w:t>二、企业质量管理</w:t>
      </w:r>
      <w:bookmarkEnd w:id="12"/>
    </w:p>
    <w:p w14:paraId="1ED2CA3E">
      <w:pPr>
        <w:spacing w:line="360" w:lineRule="auto"/>
        <w:ind w:firstLine="482" w:firstLineChars="200"/>
        <w:outlineLvl w:val="2"/>
        <w:rPr>
          <w:rFonts w:hint="eastAsia" w:ascii="宋体" w:hAnsi="宋体" w:eastAsia="宋体" w:cs="楷体"/>
          <w:b/>
          <w:color w:val="000000"/>
          <w:sz w:val="24"/>
          <w:szCs w:val="32"/>
        </w:rPr>
      </w:pPr>
      <w:bookmarkStart w:id="13" w:name="_Toc48809467"/>
      <w:r>
        <w:rPr>
          <w:rFonts w:hint="eastAsia" w:ascii="宋体" w:hAnsi="宋体" w:eastAsia="宋体" w:cs="楷体"/>
          <w:b/>
          <w:color w:val="000000"/>
          <w:sz w:val="24"/>
          <w:szCs w:val="32"/>
        </w:rPr>
        <w:t>（一）质量管理机构</w:t>
      </w:r>
      <w:bookmarkEnd w:id="13"/>
    </w:p>
    <w:p w14:paraId="17A562ED">
      <w:pPr>
        <w:spacing w:line="360" w:lineRule="auto"/>
        <w:ind w:firstLine="480" w:firstLineChars="200"/>
        <w:rPr>
          <w:rFonts w:hint="eastAsia" w:ascii="宋体" w:hAnsi="宋体" w:eastAsia="宋体"/>
          <w:sz w:val="24"/>
        </w:rPr>
      </w:pPr>
      <w:r>
        <w:rPr>
          <w:rFonts w:hint="eastAsia" w:ascii="宋体" w:hAnsi="宋体" w:eastAsia="宋体"/>
          <w:sz w:val="24"/>
        </w:rPr>
        <w:t>旨恒机床拥有完善的法人治理机构，总经理既管理者代表，负责公司的日常经营。公司建立了扁平化的组织架构，设立了多个职能部门，相互间协调合作、各负其责，公司的产品质量由技术研发中心全面负责。</w:t>
      </w:r>
    </w:p>
    <w:p w14:paraId="3ED0CCA1">
      <w:pPr>
        <w:spacing w:line="360" w:lineRule="auto"/>
        <w:ind w:firstLine="420" w:firstLineChars="200"/>
        <w:rPr>
          <w:rFonts w:hint="eastAsia" w:ascii="宋体" w:hAnsi="宋体" w:eastAsia="宋体"/>
          <w:sz w:val="24"/>
        </w:rPr>
      </w:pPr>
      <w:r>
        <w:rPr>
          <w:rFonts w:hint="eastAsia" w:eastAsia="宋体"/>
        </w:rPr>
        <w:drawing>
          <wp:inline distT="0" distB="0" distL="114300" distR="114300">
            <wp:extent cx="5936615" cy="2826385"/>
            <wp:effectExtent l="0" t="0" r="6985"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7"/>
                    <a:stretch>
                      <a:fillRect/>
                    </a:stretch>
                  </pic:blipFill>
                  <pic:spPr>
                    <a:xfrm>
                      <a:off x="0" y="0"/>
                      <a:ext cx="5936615" cy="2826385"/>
                    </a:xfrm>
                    <a:prstGeom prst="rect">
                      <a:avLst/>
                    </a:prstGeom>
                    <a:noFill/>
                    <a:ln>
                      <a:noFill/>
                    </a:ln>
                  </pic:spPr>
                </pic:pic>
              </a:graphicData>
            </a:graphic>
          </wp:inline>
        </w:drawing>
      </w:r>
    </w:p>
    <w:p w14:paraId="6B470E9B">
      <w:pPr>
        <w:widowControl/>
        <w:spacing w:before="156" w:beforeLines="50" w:after="156" w:afterLines="50"/>
        <w:jc w:val="center"/>
        <w:rPr>
          <w:rFonts w:hint="eastAsia" w:ascii="宋体" w:hAnsi="宋体" w:eastAsia="宋体" w:cs="宋体"/>
          <w:b/>
          <w:sz w:val="24"/>
        </w:rPr>
      </w:pPr>
      <w:r>
        <w:rPr>
          <w:rFonts w:hint="eastAsia" w:ascii="宋体" w:hAnsi="宋体" w:eastAsia="宋体" w:cs="宋体"/>
          <w:b/>
          <w:sz w:val="24"/>
        </w:rPr>
        <w:t>图1 公司组织架构图</w:t>
      </w:r>
    </w:p>
    <w:p w14:paraId="20085383">
      <w:pPr>
        <w:spacing w:line="360" w:lineRule="auto"/>
        <w:ind w:firstLine="464" w:firstLineChars="200"/>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为建立健全适应本企业实际的质量管理体系，扎实有效地落实管理产品生产中的各项工作，确保产品质量管理体系有效运行，保障产品质量以及顾客的合法权益。本公司严格把控产品检测，具体规定技术研发中心的具体职责：制定公司质量管理目标及实施方案，全面负责公司产品质量考核、客户投诉管理工作，对产品所需物料的进料检验、制程检验、成品检验及出货检验负责。</w:t>
      </w:r>
    </w:p>
    <w:p w14:paraId="7A787E29">
      <w:pPr>
        <w:spacing w:line="360" w:lineRule="auto"/>
        <w:ind w:firstLine="482" w:firstLineChars="200"/>
        <w:outlineLvl w:val="2"/>
        <w:rPr>
          <w:rFonts w:hint="eastAsia" w:ascii="宋体" w:hAnsi="宋体" w:eastAsia="宋体" w:cs="楷体"/>
          <w:b/>
          <w:color w:val="000000"/>
          <w:sz w:val="24"/>
          <w:szCs w:val="32"/>
        </w:rPr>
      </w:pPr>
      <w:bookmarkStart w:id="14" w:name="_Toc48809468"/>
      <w:r>
        <w:rPr>
          <w:rFonts w:hint="eastAsia" w:ascii="宋体" w:hAnsi="宋体" w:eastAsia="宋体" w:cs="楷体"/>
          <w:b/>
          <w:color w:val="000000"/>
          <w:sz w:val="24"/>
          <w:szCs w:val="32"/>
        </w:rPr>
        <w:t>（二）质量管理体系</w:t>
      </w:r>
      <w:bookmarkEnd w:id="14"/>
    </w:p>
    <w:p w14:paraId="7B8CE639">
      <w:pPr>
        <w:spacing w:line="360" w:lineRule="auto"/>
        <w:ind w:firstLine="464" w:firstLineChars="200"/>
        <w:rPr>
          <w:rFonts w:hint="eastAsia" w:ascii="宋体" w:hAnsi="宋体" w:eastAsia="宋体" w:cs="Times New Roman"/>
          <w:bCs/>
          <w:sz w:val="24"/>
          <w:szCs w:val="28"/>
        </w:rPr>
      </w:pPr>
      <w:r>
        <w:rPr>
          <w:rFonts w:hint="eastAsia" w:ascii="宋体" w:hAnsi="宋体" w:eastAsia="宋体" w:cs="微软雅黑"/>
          <w:color w:val="000000"/>
          <w:spacing w:val="-4"/>
          <w:sz w:val="24"/>
          <w:szCs w:val="28"/>
        </w:rPr>
        <w:t>公司高度重视产品品质，认真履行产品和服务质量安全职责。公司领导始终践行企业社会责任，为提升产品的质量安全性能，建立了一套切合企业发展，促进企业自身与客户共赢的质量安全管控体系。从“设计/研发—采购—生产—成品”，每个环节都设置了缜密的控制体系，进行严格的管控。</w:t>
      </w:r>
    </w:p>
    <w:p w14:paraId="6769184F">
      <w:pPr>
        <w:spacing w:line="360" w:lineRule="auto"/>
        <w:ind w:firstLine="482" w:firstLineChars="200"/>
        <w:rPr>
          <w:rFonts w:hint="eastAsia" w:ascii="宋体" w:hAnsi="宋体" w:eastAsia="宋体" w:cs="黑体"/>
          <w:b/>
          <w:color w:val="000000"/>
          <w:sz w:val="24"/>
        </w:rPr>
      </w:pPr>
      <w:r>
        <w:rPr>
          <w:rFonts w:hint="eastAsia" w:ascii="宋体" w:hAnsi="宋体" w:eastAsia="宋体" w:cs="黑体"/>
          <w:b/>
          <w:sz w:val="24"/>
        </w:rPr>
        <w:t>（1）质量目标</w:t>
      </w:r>
    </w:p>
    <w:p w14:paraId="45D6756D">
      <w:pPr>
        <w:spacing w:line="360" w:lineRule="auto"/>
        <w:ind w:firstLine="464" w:firstLineChars="200"/>
        <w:rPr>
          <w:rFonts w:hint="eastAsia" w:ascii="宋体" w:hAnsi="宋体" w:eastAsia="宋体" w:cs="微软雅黑"/>
          <w:color w:val="000000"/>
          <w:spacing w:val="-4"/>
          <w:sz w:val="24"/>
        </w:rPr>
      </w:pPr>
      <w:r>
        <w:rPr>
          <w:rFonts w:hint="eastAsia" w:ascii="宋体" w:hAnsi="宋体" w:eastAsia="宋体" w:cs="微软雅黑"/>
          <w:color w:val="000000"/>
          <w:spacing w:val="-4"/>
          <w:sz w:val="24"/>
        </w:rPr>
        <w:t>公司将继续加强质量基础建设，强化管理创新和技术创新，提高总体质量水平和自主创新能力，到202</w:t>
      </w:r>
      <w:r>
        <w:rPr>
          <w:rFonts w:hint="eastAsia" w:ascii="宋体" w:hAnsi="宋体" w:eastAsia="宋体" w:cs="微软雅黑"/>
          <w:color w:val="000000"/>
          <w:spacing w:val="-4"/>
          <w:sz w:val="24"/>
          <w:lang w:val="en-US" w:eastAsia="zh-CN"/>
        </w:rPr>
        <w:t>6</w:t>
      </w:r>
      <w:r>
        <w:rPr>
          <w:rFonts w:hint="eastAsia" w:ascii="宋体" w:hAnsi="宋体" w:eastAsia="宋体" w:cs="微软雅黑"/>
          <w:color w:val="000000"/>
          <w:spacing w:val="-4"/>
          <w:sz w:val="24"/>
        </w:rPr>
        <w:t>年质量建设要取得显著成效。</w:t>
      </w:r>
    </w:p>
    <w:p w14:paraId="4F63B18F">
      <w:pPr>
        <w:spacing w:line="360" w:lineRule="auto"/>
        <w:ind w:firstLine="464" w:firstLineChars="200"/>
        <w:rPr>
          <w:rFonts w:hint="eastAsia" w:ascii="宋体" w:hAnsi="宋体" w:eastAsia="宋体" w:cs="微软雅黑"/>
          <w:color w:val="000000"/>
          <w:spacing w:val="-4"/>
          <w:sz w:val="24"/>
        </w:rPr>
      </w:pPr>
      <w:r>
        <w:rPr>
          <w:rFonts w:hint="eastAsia" w:ascii="宋体" w:hAnsi="宋体" w:eastAsia="宋体" w:cs="微软雅黑"/>
          <w:color w:val="000000"/>
          <w:spacing w:val="-4"/>
          <w:sz w:val="24"/>
        </w:rPr>
        <w:t>“以质量为根本，以技术求发展；以服务为保证,以满意为目标；预防为主、遵守法规、节能降耗、人文精神，追求工作环境的不断改善”是旨恒机床的管理方针，按“方针”精神，公司要求在</w:t>
      </w:r>
      <w:r>
        <w:rPr>
          <w:rFonts w:ascii="宋体" w:hAnsi="宋体" w:eastAsia="宋体" w:cs="微软雅黑"/>
          <w:color w:val="000000"/>
          <w:spacing w:val="-4"/>
          <w:sz w:val="24"/>
        </w:rPr>
        <w:t>年</w:t>
      </w:r>
      <w:r>
        <w:rPr>
          <w:rFonts w:hint="eastAsia" w:ascii="宋体" w:hAnsi="宋体" w:eastAsia="宋体" w:cs="微软雅黑"/>
          <w:color w:val="000000"/>
          <w:spacing w:val="-4"/>
          <w:sz w:val="24"/>
        </w:rPr>
        <w:t>度管理</w:t>
      </w:r>
      <w:r>
        <w:rPr>
          <w:rFonts w:ascii="宋体" w:hAnsi="宋体" w:eastAsia="宋体" w:cs="微软雅黑"/>
          <w:color w:val="000000"/>
          <w:spacing w:val="-4"/>
          <w:sz w:val="24"/>
        </w:rPr>
        <w:t>总目标达标</w:t>
      </w:r>
      <w:r>
        <w:rPr>
          <w:rFonts w:hint="eastAsia" w:ascii="宋体" w:hAnsi="宋体" w:eastAsia="宋体" w:cs="微软雅黑"/>
          <w:color w:val="000000"/>
          <w:spacing w:val="-4"/>
          <w:sz w:val="24"/>
        </w:rPr>
        <w:t>。</w:t>
      </w:r>
    </w:p>
    <w:p w14:paraId="3E9FA86B">
      <w:pPr>
        <w:spacing w:line="360" w:lineRule="auto"/>
        <w:ind w:firstLine="464" w:firstLineChars="200"/>
        <w:rPr>
          <w:rFonts w:hint="eastAsia" w:ascii="宋体" w:hAnsi="宋体" w:eastAsia="宋体" w:cs="微软雅黑"/>
          <w:color w:val="000000"/>
          <w:spacing w:val="-4"/>
          <w:sz w:val="24"/>
        </w:rPr>
      </w:pPr>
      <w:r>
        <w:rPr>
          <w:rFonts w:hint="eastAsia" w:ascii="宋体" w:hAnsi="宋体" w:eastAsia="宋体" w:cs="微软雅黑"/>
          <w:color w:val="000000"/>
          <w:spacing w:val="-4"/>
          <w:sz w:val="24"/>
        </w:rPr>
        <w:t>公司要求，品质总体目标每年有所改善和品质提升</w:t>
      </w:r>
      <w:r>
        <w:rPr>
          <w:rFonts w:ascii="宋体" w:hAnsi="宋体" w:eastAsia="宋体" w:cs="微软雅黑"/>
          <w:color w:val="000000"/>
          <w:spacing w:val="-4"/>
          <w:sz w:val="24"/>
        </w:rPr>
        <w:t>。</w:t>
      </w:r>
      <w:r>
        <w:rPr>
          <w:rFonts w:hint="eastAsia" w:ascii="宋体" w:hAnsi="宋体" w:eastAsia="宋体" w:cs="微软雅黑"/>
          <w:color w:val="000000"/>
          <w:spacing w:val="-4"/>
          <w:sz w:val="24"/>
        </w:rPr>
        <w:t>公司</w:t>
      </w:r>
      <w:r>
        <w:rPr>
          <w:rFonts w:ascii="宋体" w:hAnsi="宋体" w:eastAsia="宋体" w:cs="微软雅黑"/>
          <w:color w:val="000000"/>
          <w:spacing w:val="-4"/>
          <w:sz w:val="24"/>
        </w:rPr>
        <w:t>授权</w:t>
      </w:r>
      <w:r>
        <w:rPr>
          <w:rFonts w:hint="eastAsia" w:ascii="宋体" w:hAnsi="宋体" w:eastAsia="宋体" w:cs="微软雅黑"/>
          <w:color w:val="000000"/>
          <w:spacing w:val="-4"/>
          <w:sz w:val="24"/>
        </w:rPr>
        <w:t>质量</w:t>
      </w:r>
      <w:r>
        <w:rPr>
          <w:rFonts w:ascii="宋体" w:hAnsi="宋体" w:eastAsia="宋体" w:cs="微软雅黑"/>
          <w:color w:val="000000"/>
          <w:spacing w:val="-4"/>
          <w:sz w:val="24"/>
        </w:rPr>
        <w:t>管理部对</w:t>
      </w:r>
      <w:r>
        <w:rPr>
          <w:rFonts w:hint="eastAsia" w:ascii="宋体" w:hAnsi="宋体" w:eastAsia="宋体" w:cs="微软雅黑"/>
          <w:color w:val="000000"/>
          <w:spacing w:val="-4"/>
          <w:sz w:val="24"/>
        </w:rPr>
        <w:t>质量</w:t>
      </w:r>
      <w:r>
        <w:rPr>
          <w:rFonts w:ascii="宋体" w:hAnsi="宋体" w:eastAsia="宋体" w:cs="微软雅黑"/>
          <w:color w:val="000000"/>
          <w:spacing w:val="-4"/>
          <w:sz w:val="24"/>
        </w:rPr>
        <w:t>目标的执行和达成情况进行督查、统计、分析</w:t>
      </w:r>
      <w:r>
        <w:rPr>
          <w:rFonts w:hint="eastAsia" w:ascii="宋体" w:hAnsi="宋体" w:eastAsia="宋体" w:cs="微软雅黑"/>
          <w:color w:val="000000"/>
          <w:spacing w:val="-4"/>
          <w:sz w:val="24"/>
        </w:rPr>
        <w:t>；分析、统计结果报管理者代表与最高管理者。</w:t>
      </w:r>
    </w:p>
    <w:p w14:paraId="0E0CF92D">
      <w:pPr>
        <w:spacing w:line="360" w:lineRule="auto"/>
        <w:ind w:firstLine="482" w:firstLineChars="200"/>
        <w:rPr>
          <w:rFonts w:hint="eastAsia" w:ascii="宋体" w:hAnsi="宋体" w:eastAsia="宋体" w:cs="黑体"/>
          <w:bCs/>
          <w:sz w:val="24"/>
        </w:rPr>
      </w:pPr>
      <w:r>
        <w:rPr>
          <w:rFonts w:hint="eastAsia" w:ascii="宋体" w:hAnsi="宋体" w:eastAsia="宋体" w:cs="黑体"/>
          <w:b/>
          <w:sz w:val="24"/>
        </w:rPr>
        <w:t>（2）质量教育</w:t>
      </w:r>
    </w:p>
    <w:p w14:paraId="22BFE0D5">
      <w:pPr>
        <w:autoSpaceDE w:val="0"/>
        <w:autoSpaceDN w:val="0"/>
        <w:adjustRightInd w:val="0"/>
        <w:spacing w:line="360" w:lineRule="auto"/>
        <w:ind w:firstLine="464" w:firstLineChars="200"/>
        <w:jc w:val="left"/>
        <w:rPr>
          <w:rFonts w:hint="eastAsia" w:ascii="宋体" w:hAnsi="宋体" w:eastAsia="宋体" w:cs="微软雅黑"/>
          <w:color w:val="000000"/>
          <w:spacing w:val="-4"/>
          <w:sz w:val="24"/>
        </w:rPr>
      </w:pPr>
      <w:r>
        <w:rPr>
          <w:rFonts w:hint="eastAsia" w:ascii="宋体" w:hAnsi="宋体" w:eastAsia="宋体" w:cs="微软雅黑"/>
          <w:color w:val="000000"/>
          <w:spacing w:val="-4"/>
          <w:sz w:val="24"/>
        </w:rPr>
        <w:t>为实现公司持续经营，有效落实组织员工的质量教育，公司制定了质量教育培训管理制度，并每年制定并执行培训计划，塑造企业讲诚信的道德环境。公司培训管理流程如图2所示。</w:t>
      </w:r>
    </w:p>
    <w:p w14:paraId="362108AC">
      <w:pPr>
        <w:adjustRightInd w:val="0"/>
        <w:snapToGrid w:val="0"/>
        <w:spacing w:line="360" w:lineRule="auto"/>
        <w:jc w:val="center"/>
        <w:rPr>
          <w:rFonts w:hint="eastAsia" w:ascii="宋体" w:hAnsi="宋体" w:eastAsia="宋体"/>
          <w:bCs/>
          <w:color w:val="000000"/>
          <w:kern w:val="21"/>
          <w:szCs w:val="21"/>
        </w:rPr>
      </w:pPr>
      <w:r>
        <w:rPr>
          <w:rFonts w:ascii="宋体" w:hAnsi="宋体" w:eastAsia="宋体"/>
          <w:sz w:val="24"/>
        </w:rPr>
        <w:object>
          <v:shape id="_x0000_i1025" o:spt="75" type="#_x0000_t75" style="height:211pt;width:428.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14:paraId="2C56784A">
      <w:pPr>
        <w:spacing w:line="360" w:lineRule="auto"/>
        <w:jc w:val="center"/>
        <w:rPr>
          <w:rFonts w:hint="eastAsia" w:ascii="宋体" w:hAnsi="宋体" w:eastAsia="宋体" w:cstheme="minorEastAsia"/>
          <w:b/>
          <w:bCs/>
          <w:sz w:val="24"/>
          <w:szCs w:val="32"/>
        </w:rPr>
      </w:pPr>
      <w:r>
        <w:rPr>
          <w:rFonts w:hint="eastAsia" w:ascii="宋体" w:hAnsi="宋体" w:eastAsia="宋体" w:cstheme="minorEastAsia"/>
          <w:b/>
          <w:bCs/>
          <w:sz w:val="24"/>
          <w:szCs w:val="32"/>
        </w:rPr>
        <w:t>图2 旨恒机床培训管理体系</w:t>
      </w:r>
    </w:p>
    <w:p w14:paraId="0C518581">
      <w:pPr>
        <w:spacing w:line="360" w:lineRule="auto"/>
        <w:ind w:firstLine="482" w:firstLineChars="200"/>
        <w:outlineLvl w:val="2"/>
        <w:rPr>
          <w:rFonts w:hint="eastAsia" w:ascii="宋体" w:hAnsi="宋体" w:eastAsia="宋体" w:cs="楷体"/>
          <w:b/>
          <w:color w:val="000000"/>
          <w:sz w:val="24"/>
          <w:szCs w:val="32"/>
        </w:rPr>
      </w:pPr>
      <w:bookmarkStart w:id="15" w:name="_Toc48809469"/>
      <w:r>
        <w:rPr>
          <w:rFonts w:hint="eastAsia" w:ascii="宋体" w:hAnsi="宋体" w:eastAsia="宋体" w:cs="楷体"/>
          <w:b/>
          <w:color w:val="000000"/>
          <w:sz w:val="24"/>
          <w:szCs w:val="32"/>
        </w:rPr>
        <w:t>（三）质量安全风险管理</w:t>
      </w:r>
      <w:bookmarkEnd w:id="15"/>
    </w:p>
    <w:p w14:paraId="2E7B5871">
      <w:pPr>
        <w:spacing w:line="360" w:lineRule="auto"/>
        <w:ind w:firstLine="480" w:firstLineChars="200"/>
        <w:rPr>
          <w:rFonts w:hint="eastAsia" w:ascii="宋体" w:hAnsi="宋体" w:eastAsia="宋体"/>
          <w:sz w:val="24"/>
        </w:rPr>
      </w:pPr>
      <w:bookmarkStart w:id="16" w:name="_Toc48809470"/>
      <w:r>
        <w:rPr>
          <w:rFonts w:hint="eastAsia" w:ascii="宋体" w:hAnsi="宋体" w:eastAsia="宋体"/>
          <w:sz w:val="24"/>
        </w:rPr>
        <w:t>旨恒机床重视质量风险管理工作，每年动态修订更新内控制度，组织内控综合检查。为了确保产品的正常使用和对于重大质量安全事故的监测和风险评估，成立了以总经理为核心的战略领导和统筹机构，快速有效地应对各种风险。公司在客服体系中建立完善的危机性质量安全事故的跟踪和处理机制，并成立专门的重大事故处理小组负责质量安全事故的全程跟进和处理，并时刻识别产品在策划、设计、制造、运输、安装和使用等过程中的质量安全风险点，从根本上杜绝质量安全风险的发生。上述各项风险的处理和管控有专门的制度保证、专职的部门和领导负责、有标准的操作流程，迅速高效，把控有力。公司自成立至今，未出现过大风险和危机事件，在行内享有盛誉。</w:t>
      </w:r>
    </w:p>
    <w:p w14:paraId="4CFCB1D4">
      <w:pPr>
        <w:spacing w:line="360" w:lineRule="auto"/>
        <w:ind w:firstLine="480" w:firstLineChars="200"/>
        <w:rPr>
          <w:rFonts w:hint="eastAsia" w:ascii="宋体" w:hAnsi="宋体" w:eastAsia="宋体"/>
          <w:sz w:val="24"/>
        </w:rPr>
      </w:pPr>
      <w:r>
        <w:rPr>
          <w:rFonts w:hint="eastAsia" w:ascii="宋体" w:hAnsi="宋体" w:eastAsia="宋体"/>
          <w:sz w:val="24"/>
        </w:rPr>
        <w:t>在产品检测方面，对产品质量进行严格把控。在整个流程中，根据自身产品特点制定《采购及相关方施加影响控制程序》、《生产和服务提供控制程序》、《不合格输出控制程序》、《改进控制程序》等程序文件，在采购物资、产品和服务的提供过程以及最终检查进行验证活动，确保只有满足要求的产品和服务才能够放行交付给顾客。技术研发中心保留有关产品和服务放行的成文信息，包括检验或验收记录以及授权放行人员的可追溯性信息。</w:t>
      </w:r>
    </w:p>
    <w:p w14:paraId="153EF67F">
      <w:pPr>
        <w:spacing w:line="360" w:lineRule="auto"/>
        <w:ind w:firstLine="480" w:firstLineChars="200"/>
        <w:rPr>
          <w:rFonts w:hint="eastAsia" w:ascii="宋体" w:hAnsi="宋体" w:eastAsia="宋体"/>
          <w:sz w:val="24"/>
        </w:rPr>
      </w:pPr>
      <w:r>
        <w:rPr>
          <w:rFonts w:hint="eastAsia" w:ascii="宋体" w:hAnsi="宋体" w:eastAsia="宋体"/>
          <w:sz w:val="24"/>
        </w:rPr>
        <w:t>我公司一方面制定了严格的产品检验放行制度，严格把控不合格产品的流出；另一方面公司制定了《销售应急预案》等制度，针对潜在的质量失信事件或紧急、突发事件能做出及时响应。</w:t>
      </w:r>
    </w:p>
    <w:p w14:paraId="2B832FDE">
      <w:pPr>
        <w:spacing w:before="156" w:beforeLines="50" w:line="360" w:lineRule="auto"/>
        <w:outlineLvl w:val="1"/>
        <w:rPr>
          <w:rFonts w:hint="eastAsia" w:ascii="宋体" w:hAnsi="宋体" w:eastAsia="宋体" w:cs="楷体"/>
          <w:b/>
          <w:color w:val="000000"/>
          <w:sz w:val="28"/>
          <w:szCs w:val="36"/>
        </w:rPr>
      </w:pPr>
      <w:r>
        <w:rPr>
          <w:rFonts w:hint="eastAsia" w:ascii="宋体" w:hAnsi="宋体" w:eastAsia="宋体" w:cs="楷体"/>
          <w:b/>
          <w:color w:val="000000"/>
          <w:sz w:val="28"/>
          <w:szCs w:val="36"/>
        </w:rPr>
        <w:t>三、企业质量诚信</w:t>
      </w:r>
      <w:bookmarkEnd w:id="16"/>
    </w:p>
    <w:p w14:paraId="62D0274C">
      <w:pPr>
        <w:spacing w:line="360" w:lineRule="auto"/>
        <w:ind w:firstLine="482" w:firstLineChars="200"/>
        <w:outlineLvl w:val="2"/>
        <w:rPr>
          <w:rFonts w:hint="eastAsia" w:ascii="宋体" w:hAnsi="宋体" w:eastAsia="宋体" w:cs="楷体"/>
          <w:b/>
          <w:color w:val="000000"/>
          <w:sz w:val="24"/>
          <w:szCs w:val="32"/>
        </w:rPr>
      </w:pPr>
      <w:bookmarkStart w:id="17" w:name="_Toc48809471"/>
      <w:r>
        <w:rPr>
          <w:rFonts w:hint="eastAsia" w:ascii="宋体" w:hAnsi="宋体" w:eastAsia="宋体" w:cs="楷体"/>
          <w:b/>
          <w:color w:val="000000"/>
          <w:sz w:val="24"/>
          <w:szCs w:val="32"/>
        </w:rPr>
        <w:t>（一）质量诚信管理</w:t>
      </w:r>
      <w:bookmarkEnd w:id="17"/>
    </w:p>
    <w:p w14:paraId="66806BAB">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长期以来，公司的高层领导从企业的核心价值观出发，在实施企业文化建设的过程中十分重视企业道德文化的培育，努力营造以企业高层领导身体力行、全体员工积极参与的崇尚道德修养的良好氛围。公司依据《公司法》、《会计法》、《劳动法》等国家的法律法规，建立健全公司质量管理体系；公司高层管理者从严管理，以身作则，作为遵纪守法的示范者和标杆，在经营活动中坚持依法经营，从公司成立以来，公司高层管理者没有一位违法违规。</w:t>
      </w:r>
    </w:p>
    <w:p w14:paraId="67AF6FE3">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公司实施依法纳税，依法缴费，财务制度健全，账目规范，每年委托税务局和审计局开展汇算清缴和审计，积极配合国税、地税进行税务稽查，同时公司遵守市场规则，信贷记录良好。</w:t>
      </w:r>
    </w:p>
    <w:p w14:paraId="50643F77">
      <w:pPr>
        <w:spacing w:before="156" w:beforeLines="50" w:line="360" w:lineRule="auto"/>
        <w:ind w:firstLine="482" w:firstLineChars="200"/>
        <w:outlineLvl w:val="2"/>
        <w:rPr>
          <w:rFonts w:hint="eastAsia" w:ascii="宋体" w:hAnsi="宋体" w:eastAsia="宋体" w:cs="楷体"/>
          <w:b/>
          <w:color w:val="000000"/>
          <w:sz w:val="24"/>
          <w:szCs w:val="36"/>
        </w:rPr>
      </w:pPr>
      <w:bookmarkStart w:id="18" w:name="_Toc48809473"/>
      <w:r>
        <w:rPr>
          <w:rFonts w:hint="eastAsia" w:ascii="宋体" w:hAnsi="宋体" w:eastAsia="宋体" w:cs="楷体"/>
          <w:b/>
          <w:color w:val="000000"/>
          <w:sz w:val="24"/>
          <w:szCs w:val="36"/>
        </w:rPr>
        <w:t>（二） 运作管理</w:t>
      </w:r>
      <w:bookmarkEnd w:id="18"/>
    </w:p>
    <w:p w14:paraId="30E39691">
      <w:pPr>
        <w:autoSpaceDE w:val="0"/>
        <w:autoSpaceDN w:val="0"/>
        <w:adjustRightInd w:val="0"/>
        <w:spacing w:line="360" w:lineRule="auto"/>
        <w:ind w:firstLine="466" w:firstLineChars="200"/>
        <w:jc w:val="left"/>
        <w:rPr>
          <w:rFonts w:hint="eastAsia"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（1）对员工的诚信教育</w:t>
      </w:r>
    </w:p>
    <w:p w14:paraId="26140674">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在开展项目和签订合同时施行法律顾问及领导把关的风险控制联动机制，努力从源头上防范和控制法律风险，同时公司建有会议室、宣传栏，通过学习《安全生产法》、《工会法》等与企业和员工息息相关的法律法规，极大地提高了广大干部和员工对于法律法规的认知，增强了企业经营管理人员的诚信经营和市场规则意识，在工作和生活中知法、守法已成为广大员工的自觉行为规范。</w:t>
      </w:r>
    </w:p>
    <w:p w14:paraId="69485872">
      <w:pPr>
        <w:autoSpaceDE w:val="0"/>
        <w:autoSpaceDN w:val="0"/>
        <w:adjustRightInd w:val="0"/>
        <w:spacing w:line="360" w:lineRule="auto"/>
        <w:ind w:firstLine="466" w:firstLineChars="200"/>
        <w:jc w:val="left"/>
        <w:rPr>
          <w:rFonts w:hint="eastAsia"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（2）产品设计诚信管理</w:t>
      </w:r>
    </w:p>
    <w:p w14:paraId="1775F21F">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根据研发过程高投入、快速、创新的要求，为实现公司设定的新产品预计年销售额、新产品研发数量、研发样本一次交付合格率等绩效指标，旨恒机床设立了技术研发中心，统筹公司的产品研发。技术研发中心运用PM（项目管理）、PDCA等方法，注重工艺技术和市场信息的应用，对研发过程系统的设计、管理和改进，按研发过程的不同阶段、节点进行所需要的评审和确认，并设立指标进行测量和控制，持续改进。在技术中长期发展规划和年度计划中，明确“重大研发立项”、“申报专利技术”和“开发新产品”的量化目标，并通过监督考核的方式以确保技术转化成果的成功率。在技术研发项目实施过程中，积极采用项目管理和PDCA管理等管理模式，确保技术转化成果的成功率。</w:t>
      </w:r>
    </w:p>
    <w:p w14:paraId="22D64789">
      <w:pPr>
        <w:autoSpaceDE w:val="0"/>
        <w:autoSpaceDN w:val="0"/>
        <w:adjustRightInd w:val="0"/>
        <w:spacing w:line="360" w:lineRule="auto"/>
        <w:jc w:val="center"/>
        <w:rPr>
          <w:rFonts w:hint="eastAsia" w:ascii="宋体" w:hAnsi="宋体" w:eastAsia="宋体" w:cs="宋体"/>
          <w:b/>
          <w:bCs/>
          <w:sz w:val="24"/>
        </w:rPr>
      </w:pPr>
      <w:r>
        <w:rPr>
          <w:rFonts w:hint="eastAsia" w:ascii="宋体" w:hAnsi="宋体" w:eastAsia="宋体" w:cs="宋体"/>
          <w:b/>
          <w:bCs/>
          <w:sz w:val="24"/>
        </w:rPr>
        <w:t>表1 研发过程的实施控制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253"/>
        <w:gridCol w:w="2126"/>
        <w:gridCol w:w="1807"/>
      </w:tblGrid>
      <w:tr w14:paraId="69C1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84" w:type="dxa"/>
            <w:shd w:val="clear" w:color="auto" w:fill="538135"/>
          </w:tcPr>
          <w:p w14:paraId="1183160F">
            <w:pPr>
              <w:adjustRightInd w:val="0"/>
              <w:snapToGrid w:val="0"/>
              <w:spacing w:before="50" w:line="300" w:lineRule="auto"/>
              <w:jc w:val="center"/>
              <w:rPr>
                <w:rFonts w:hint="eastAsia" w:ascii="宋体" w:hAnsi="宋体" w:eastAsia="宋体" w:cs="宋体"/>
                <w:b/>
                <w:bCs/>
                <w:snapToGrid w:val="0"/>
                <w:color w:val="FFFFFF"/>
                <w:sz w:val="24"/>
              </w:rPr>
            </w:pPr>
            <w:r>
              <w:rPr>
                <w:rFonts w:ascii="宋体" w:hAnsi="宋体" w:eastAsia="宋体" w:cs="宋体"/>
                <w:b/>
                <w:bCs/>
                <w:snapToGrid w:val="0"/>
                <w:color w:val="FFFFFF"/>
                <w:sz w:val="24"/>
              </w:rPr>
              <w:t>过程内容</w:t>
            </w:r>
          </w:p>
        </w:tc>
        <w:tc>
          <w:tcPr>
            <w:tcW w:w="4253" w:type="dxa"/>
            <w:shd w:val="clear" w:color="auto" w:fill="538135"/>
          </w:tcPr>
          <w:p w14:paraId="6CF1F545">
            <w:pPr>
              <w:adjustRightInd w:val="0"/>
              <w:snapToGrid w:val="0"/>
              <w:spacing w:before="50" w:line="300" w:lineRule="auto"/>
              <w:jc w:val="center"/>
              <w:rPr>
                <w:rFonts w:hint="eastAsia" w:ascii="宋体" w:hAnsi="宋体" w:eastAsia="宋体" w:cs="宋体"/>
                <w:b/>
                <w:bCs/>
                <w:snapToGrid w:val="0"/>
                <w:color w:val="FFFFFF"/>
                <w:sz w:val="24"/>
              </w:rPr>
            </w:pPr>
            <w:r>
              <w:rPr>
                <w:rFonts w:ascii="宋体" w:hAnsi="宋体" w:eastAsia="宋体" w:cs="宋体"/>
                <w:b/>
                <w:bCs/>
                <w:snapToGrid w:val="0"/>
                <w:color w:val="FFFFFF"/>
                <w:sz w:val="24"/>
              </w:rPr>
              <w:t>控制要点</w:t>
            </w:r>
          </w:p>
        </w:tc>
        <w:tc>
          <w:tcPr>
            <w:tcW w:w="2126" w:type="dxa"/>
            <w:shd w:val="clear" w:color="auto" w:fill="538135"/>
          </w:tcPr>
          <w:p w14:paraId="195B3E45">
            <w:pPr>
              <w:adjustRightInd w:val="0"/>
              <w:snapToGrid w:val="0"/>
              <w:spacing w:before="50" w:line="300" w:lineRule="auto"/>
              <w:jc w:val="center"/>
              <w:rPr>
                <w:rFonts w:hint="eastAsia" w:ascii="宋体" w:hAnsi="宋体" w:eastAsia="宋体" w:cs="宋体"/>
                <w:b/>
                <w:bCs/>
                <w:snapToGrid w:val="0"/>
                <w:color w:val="FFFFFF"/>
                <w:sz w:val="24"/>
              </w:rPr>
            </w:pPr>
            <w:r>
              <w:rPr>
                <w:rFonts w:ascii="宋体" w:hAnsi="宋体" w:eastAsia="宋体" w:cs="宋体"/>
                <w:b/>
                <w:bCs/>
                <w:snapToGrid w:val="0"/>
                <w:color w:val="FFFFFF"/>
                <w:sz w:val="24"/>
              </w:rPr>
              <w:t>实施手段</w:t>
            </w:r>
          </w:p>
        </w:tc>
        <w:tc>
          <w:tcPr>
            <w:tcW w:w="1807" w:type="dxa"/>
            <w:shd w:val="clear" w:color="auto" w:fill="538135"/>
          </w:tcPr>
          <w:p w14:paraId="5C70AD9D">
            <w:pPr>
              <w:adjustRightInd w:val="0"/>
              <w:snapToGrid w:val="0"/>
              <w:spacing w:before="50" w:line="300" w:lineRule="auto"/>
              <w:jc w:val="center"/>
              <w:rPr>
                <w:rFonts w:hint="eastAsia" w:ascii="宋体" w:hAnsi="宋体" w:eastAsia="宋体" w:cs="宋体"/>
                <w:b/>
                <w:bCs/>
                <w:snapToGrid w:val="0"/>
                <w:color w:val="FFFFFF"/>
                <w:sz w:val="24"/>
              </w:rPr>
            </w:pPr>
            <w:r>
              <w:rPr>
                <w:rFonts w:ascii="宋体" w:hAnsi="宋体" w:eastAsia="宋体" w:cs="宋体"/>
                <w:b/>
                <w:bCs/>
                <w:snapToGrid w:val="0"/>
                <w:color w:val="FFFFFF"/>
                <w:sz w:val="24"/>
              </w:rPr>
              <w:t>参与部门</w:t>
            </w:r>
          </w:p>
        </w:tc>
      </w:tr>
      <w:tr w14:paraId="0FEC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65A2697">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市场调研</w:t>
            </w:r>
          </w:p>
        </w:tc>
        <w:tc>
          <w:tcPr>
            <w:tcW w:w="4253" w:type="dxa"/>
            <w:vAlign w:val="center"/>
          </w:tcPr>
          <w:p w14:paraId="3B8734FD">
            <w:pPr>
              <w:autoSpaceDE w:val="0"/>
              <w:autoSpaceDN w:val="0"/>
              <w:adjustRightInd w:val="0"/>
              <w:jc w:val="left"/>
              <w:rPr>
                <w:rFonts w:hint="eastAsia" w:ascii="宋体" w:hAnsi="宋体" w:eastAsia="宋体" w:cs="宋体"/>
                <w:snapToGrid w:val="0"/>
                <w:color w:val="000000"/>
                <w:szCs w:val="22"/>
              </w:rPr>
            </w:pPr>
            <w:r>
              <w:rPr>
                <w:rFonts w:ascii="宋体" w:hAnsi="宋体" w:eastAsia="宋体" w:cs="宋体"/>
                <w:snapToGrid w:val="0"/>
                <w:color w:val="000000"/>
                <w:szCs w:val="22"/>
              </w:rPr>
              <w:t>信息来源的可靠性</w:t>
            </w:r>
          </w:p>
        </w:tc>
        <w:tc>
          <w:tcPr>
            <w:tcW w:w="2126" w:type="dxa"/>
            <w:vAlign w:val="center"/>
          </w:tcPr>
          <w:p w14:paraId="4D08A859">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市场调研</w:t>
            </w:r>
          </w:p>
        </w:tc>
        <w:tc>
          <w:tcPr>
            <w:tcW w:w="1807" w:type="dxa"/>
            <w:vAlign w:val="center"/>
          </w:tcPr>
          <w:p w14:paraId="602F4163">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销售管理部</w:t>
            </w:r>
          </w:p>
        </w:tc>
      </w:tr>
      <w:tr w14:paraId="086C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780903F8">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可行性分析</w:t>
            </w:r>
          </w:p>
        </w:tc>
        <w:tc>
          <w:tcPr>
            <w:tcW w:w="4253" w:type="dxa"/>
            <w:vAlign w:val="center"/>
          </w:tcPr>
          <w:p w14:paraId="0CEA3D67">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1.能否不断满足顾客的需求和期望，为客户实现增值；</w:t>
            </w:r>
          </w:p>
          <w:p w14:paraId="11425916">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2.是否能盈利，成为新的经济增长点，具有良好的经济和社会效益；</w:t>
            </w:r>
          </w:p>
          <w:p w14:paraId="39604B1A">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3.项目的研发成功是否能提高公司的创新能力，掌握核心技术，提高公司的核心竞争力，保持行业的领先地位，增强顾客对企业的信心。</w:t>
            </w:r>
          </w:p>
        </w:tc>
        <w:tc>
          <w:tcPr>
            <w:tcW w:w="2126" w:type="dxa"/>
            <w:vAlign w:val="center"/>
          </w:tcPr>
          <w:p w14:paraId="3E2E016F">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项目可行性评估</w:t>
            </w:r>
          </w:p>
        </w:tc>
        <w:tc>
          <w:tcPr>
            <w:tcW w:w="1807" w:type="dxa"/>
            <w:vAlign w:val="center"/>
          </w:tcPr>
          <w:p w14:paraId="05F9C2C3">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技术研发中心</w:t>
            </w:r>
          </w:p>
          <w:p w14:paraId="59B17899">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销售管理部</w:t>
            </w:r>
          </w:p>
        </w:tc>
      </w:tr>
      <w:tr w14:paraId="1C04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41339CCB">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批准开发</w:t>
            </w:r>
          </w:p>
          <w:p w14:paraId="7412F4A8">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计划</w:t>
            </w:r>
          </w:p>
        </w:tc>
        <w:tc>
          <w:tcPr>
            <w:tcW w:w="4253" w:type="dxa"/>
            <w:vAlign w:val="center"/>
          </w:tcPr>
          <w:p w14:paraId="1640B3DD">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1.顾客的需求，如产品技术标准；</w:t>
            </w:r>
          </w:p>
          <w:p w14:paraId="4B40EF3D">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2.对生产提出要求，如需要合作单位；</w:t>
            </w:r>
          </w:p>
          <w:p w14:paraId="1526DBB8">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3.满足社会环保要求；</w:t>
            </w:r>
          </w:p>
          <w:p w14:paraId="0EC7CC2E">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4.试制到商业化生产的过程。</w:t>
            </w:r>
          </w:p>
        </w:tc>
        <w:tc>
          <w:tcPr>
            <w:tcW w:w="2126" w:type="dxa"/>
            <w:vAlign w:val="center"/>
          </w:tcPr>
          <w:p w14:paraId="21F0CC3E">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项目要求评估</w:t>
            </w:r>
          </w:p>
          <w:p w14:paraId="2DD81D99">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PM项目管理</w:t>
            </w:r>
          </w:p>
        </w:tc>
        <w:tc>
          <w:tcPr>
            <w:tcW w:w="1807" w:type="dxa"/>
            <w:vAlign w:val="center"/>
          </w:tcPr>
          <w:p w14:paraId="56F43D77">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销售管理部</w:t>
            </w:r>
          </w:p>
          <w:p w14:paraId="72E6D19F">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技术研发中心</w:t>
            </w:r>
          </w:p>
        </w:tc>
      </w:tr>
      <w:tr w14:paraId="21D65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7E5FEA68">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工艺准备</w:t>
            </w:r>
          </w:p>
        </w:tc>
        <w:tc>
          <w:tcPr>
            <w:tcW w:w="4253" w:type="dxa"/>
            <w:vAlign w:val="center"/>
          </w:tcPr>
          <w:p w14:paraId="40B09284">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1.工厂现有设备和工艺能力能否完成制造；</w:t>
            </w:r>
          </w:p>
          <w:p w14:paraId="50F199CF">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2.需要进行哪些技改；</w:t>
            </w:r>
          </w:p>
          <w:p w14:paraId="5FA67B74">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3.技改的时间和成本能否配合</w:t>
            </w:r>
          </w:p>
        </w:tc>
        <w:tc>
          <w:tcPr>
            <w:tcW w:w="2126" w:type="dxa"/>
            <w:vAlign w:val="center"/>
          </w:tcPr>
          <w:p w14:paraId="10DB0881">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内部能力评估</w:t>
            </w:r>
          </w:p>
        </w:tc>
        <w:tc>
          <w:tcPr>
            <w:tcW w:w="1807" w:type="dxa"/>
            <w:vAlign w:val="center"/>
          </w:tcPr>
          <w:p w14:paraId="3DE1FDE7">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生产管理部</w:t>
            </w:r>
          </w:p>
        </w:tc>
      </w:tr>
      <w:tr w14:paraId="5A88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365C5A65">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原材</w:t>
            </w:r>
            <w:r>
              <w:rPr>
                <w:rFonts w:hint="eastAsia" w:ascii="宋体" w:hAnsi="宋体" w:eastAsia="宋体" w:cs="宋体"/>
                <w:snapToGrid w:val="0"/>
                <w:color w:val="000000"/>
                <w:szCs w:val="22"/>
              </w:rPr>
              <w:t>/辅料试制与复检</w:t>
            </w:r>
          </w:p>
        </w:tc>
        <w:tc>
          <w:tcPr>
            <w:tcW w:w="4253" w:type="dxa"/>
            <w:vAlign w:val="center"/>
          </w:tcPr>
          <w:p w14:paraId="10049A01">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1.厂家是否需要技术支持；</w:t>
            </w:r>
          </w:p>
          <w:p w14:paraId="1B94CC84">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2.材料试制能否如计划完成；</w:t>
            </w:r>
          </w:p>
          <w:p w14:paraId="3676A79D">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3.材料复验指标是否符合产品要求。</w:t>
            </w:r>
          </w:p>
        </w:tc>
        <w:tc>
          <w:tcPr>
            <w:tcW w:w="2126" w:type="dxa"/>
            <w:vAlign w:val="center"/>
          </w:tcPr>
          <w:p w14:paraId="01090CB4">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供方能力评估</w:t>
            </w:r>
          </w:p>
          <w:p w14:paraId="533900A0">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实验室检测</w:t>
            </w:r>
          </w:p>
        </w:tc>
        <w:tc>
          <w:tcPr>
            <w:tcW w:w="1807" w:type="dxa"/>
            <w:vAlign w:val="center"/>
          </w:tcPr>
          <w:p w14:paraId="4CD9CC8C">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采购部</w:t>
            </w:r>
          </w:p>
        </w:tc>
      </w:tr>
      <w:tr w14:paraId="6155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531F2DD8">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样品制作</w:t>
            </w:r>
          </w:p>
        </w:tc>
        <w:tc>
          <w:tcPr>
            <w:tcW w:w="4253" w:type="dxa"/>
            <w:vAlign w:val="center"/>
          </w:tcPr>
          <w:p w14:paraId="6E2E9C9F">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1.材料和设备是否准备到位；</w:t>
            </w:r>
          </w:p>
          <w:p w14:paraId="0D3B61D9">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2.如何在不给正常生产造成大的干扰情况下完成试制。</w:t>
            </w:r>
          </w:p>
        </w:tc>
        <w:tc>
          <w:tcPr>
            <w:tcW w:w="2126" w:type="dxa"/>
            <w:vAlign w:val="center"/>
          </w:tcPr>
          <w:p w14:paraId="3A256C78">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小批量试制</w:t>
            </w:r>
          </w:p>
        </w:tc>
        <w:tc>
          <w:tcPr>
            <w:tcW w:w="1807" w:type="dxa"/>
            <w:vAlign w:val="center"/>
          </w:tcPr>
          <w:p w14:paraId="48BEF8A2">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生产管理部</w:t>
            </w:r>
          </w:p>
        </w:tc>
      </w:tr>
      <w:tr w14:paraId="1441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1B7E4638">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确定样品</w:t>
            </w:r>
          </w:p>
        </w:tc>
        <w:tc>
          <w:tcPr>
            <w:tcW w:w="4253" w:type="dxa"/>
            <w:vAlign w:val="center"/>
          </w:tcPr>
          <w:p w14:paraId="565897A7">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1.验证技术是否成熟和可靠；</w:t>
            </w:r>
          </w:p>
          <w:p w14:paraId="1FBEBC2F">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2.有无按照验证程序规范操作；</w:t>
            </w:r>
          </w:p>
          <w:p w14:paraId="73461ABB">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3.数据记录是否完整和可靠。</w:t>
            </w:r>
          </w:p>
        </w:tc>
        <w:tc>
          <w:tcPr>
            <w:tcW w:w="2126" w:type="dxa"/>
            <w:vAlign w:val="center"/>
          </w:tcPr>
          <w:p w14:paraId="637C78F5">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实验室检测</w:t>
            </w:r>
          </w:p>
          <w:p w14:paraId="3939471D">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第三方检测</w:t>
            </w:r>
          </w:p>
          <w:p w14:paraId="656A03E4">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专家鉴定</w:t>
            </w:r>
          </w:p>
        </w:tc>
        <w:tc>
          <w:tcPr>
            <w:tcW w:w="1807" w:type="dxa"/>
            <w:vAlign w:val="center"/>
          </w:tcPr>
          <w:p w14:paraId="2F24324C">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技术研发中心</w:t>
            </w:r>
          </w:p>
          <w:p w14:paraId="1AAA59BD">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第三方检测机构</w:t>
            </w:r>
          </w:p>
        </w:tc>
      </w:tr>
      <w:tr w14:paraId="216E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14:paraId="2D76FB2D">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实施改进</w:t>
            </w:r>
          </w:p>
        </w:tc>
        <w:tc>
          <w:tcPr>
            <w:tcW w:w="4253" w:type="dxa"/>
            <w:vAlign w:val="center"/>
          </w:tcPr>
          <w:p w14:paraId="488EC3BD">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有无持续改进的内容</w:t>
            </w:r>
          </w:p>
        </w:tc>
        <w:tc>
          <w:tcPr>
            <w:tcW w:w="2126" w:type="dxa"/>
            <w:vAlign w:val="center"/>
          </w:tcPr>
          <w:p w14:paraId="27F8140F">
            <w:pPr>
              <w:autoSpaceDE w:val="0"/>
              <w:autoSpaceDN w:val="0"/>
              <w:adjustRightInd w:val="0"/>
              <w:jc w:val="center"/>
              <w:rPr>
                <w:rFonts w:hint="eastAsia" w:ascii="宋体" w:hAnsi="宋体" w:eastAsia="宋体" w:cs="宋体"/>
                <w:snapToGrid w:val="0"/>
                <w:color w:val="000000"/>
                <w:szCs w:val="22"/>
              </w:rPr>
            </w:pPr>
            <w:r>
              <w:rPr>
                <w:rFonts w:ascii="宋体" w:hAnsi="宋体" w:eastAsia="宋体" w:cs="宋体"/>
                <w:snapToGrid w:val="0"/>
                <w:color w:val="000000"/>
                <w:szCs w:val="22"/>
              </w:rPr>
              <w:t>效果图评审后改进、实物评审后改进、工艺评审后改进</w:t>
            </w:r>
          </w:p>
        </w:tc>
        <w:tc>
          <w:tcPr>
            <w:tcW w:w="1807" w:type="dxa"/>
            <w:vAlign w:val="center"/>
          </w:tcPr>
          <w:p w14:paraId="73265A97">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销售管理部</w:t>
            </w:r>
          </w:p>
        </w:tc>
      </w:tr>
    </w:tbl>
    <w:p w14:paraId="1C228A10">
      <w:pPr>
        <w:autoSpaceDE w:val="0"/>
        <w:autoSpaceDN w:val="0"/>
        <w:adjustRightInd w:val="0"/>
        <w:spacing w:line="360" w:lineRule="auto"/>
        <w:ind w:firstLine="466" w:firstLineChars="200"/>
        <w:jc w:val="left"/>
        <w:rPr>
          <w:rFonts w:hint="eastAsia"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（3）原材料或零部件采购诚信管理</w:t>
      </w:r>
    </w:p>
    <w:p w14:paraId="7417567C">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坚持“优质原料+严谨检验”，把好原料关。原材料的好坏是决定产品品质的首要因素，旨恒机床的原材料供应商为国际、国内知名的原料制造商，原材料进入公司后，须经过一系列严谨的科学检测，确保各项性能优越，优质纯正的专用原材料，从基因上奠定了旨恒机床产品的卓越性能与环保品质。此外，公司与供应商签订质量协议，明确对产品性能、法律法规、环境保护等方面的具体要求。在入厂检验阶段，严格按照国家抽样标准进行抽样、检验与试验；对涉及律法规、环境保护、人身安全的，实行零容忍，一旦发现不合格，一律退货，并责令外协厂家进行整改，必要取消其供应商资格。</w:t>
      </w:r>
    </w:p>
    <w:p w14:paraId="3E5DC89C">
      <w:pPr>
        <w:autoSpaceDE w:val="0"/>
        <w:autoSpaceDN w:val="0"/>
        <w:adjustRightInd w:val="0"/>
        <w:spacing w:line="360" w:lineRule="auto"/>
        <w:jc w:val="center"/>
        <w:rPr>
          <w:rFonts w:hint="eastAsia" w:ascii="宋体" w:hAnsi="宋体" w:eastAsia="宋体" w:cs="宋体"/>
          <w:b/>
          <w:bCs/>
          <w:sz w:val="24"/>
        </w:rPr>
      </w:pPr>
      <w:r>
        <w:rPr>
          <w:rFonts w:hint="eastAsia" w:ascii="宋体" w:hAnsi="宋体" w:eastAsia="宋体" w:cs="宋体"/>
          <w:b/>
          <w:bCs/>
          <w:sz w:val="24"/>
        </w:rPr>
        <w:t>表2 供应商开发、采购及管理流程</w:t>
      </w:r>
    </w:p>
    <w:tbl>
      <w:tblPr>
        <w:tblStyle w:val="13"/>
        <w:tblW w:w="5000" w:type="pct"/>
        <w:jc w:val="center"/>
        <w:tblLayout w:type="autofit"/>
        <w:tblCellMar>
          <w:top w:w="0" w:type="dxa"/>
          <w:left w:w="108" w:type="dxa"/>
          <w:bottom w:w="0" w:type="dxa"/>
          <w:right w:w="108" w:type="dxa"/>
        </w:tblCellMar>
      </w:tblPr>
      <w:tblGrid>
        <w:gridCol w:w="2249"/>
        <w:gridCol w:w="3529"/>
        <w:gridCol w:w="3792"/>
      </w:tblGrid>
      <w:tr w14:paraId="29015FC1">
        <w:tblPrEx>
          <w:tblCellMar>
            <w:top w:w="0" w:type="dxa"/>
            <w:left w:w="108" w:type="dxa"/>
            <w:bottom w:w="0" w:type="dxa"/>
            <w:right w:w="108" w:type="dxa"/>
          </w:tblCellMar>
        </w:tblPrEx>
        <w:trPr>
          <w:trHeight w:val="459" w:hRule="exact"/>
          <w:tblHeader/>
          <w:jc w:val="center"/>
        </w:trPr>
        <w:tc>
          <w:tcPr>
            <w:tcW w:w="1175" w:type="pct"/>
            <w:tcBorders>
              <w:top w:val="single" w:color="000000" w:sz="4" w:space="0"/>
              <w:left w:val="single" w:color="000000" w:sz="4" w:space="0"/>
              <w:bottom w:val="single" w:color="000000" w:sz="4" w:space="0"/>
              <w:right w:val="single" w:color="000000" w:sz="4" w:space="0"/>
              <w:tl2br w:val="nil"/>
              <w:tr2bl w:val="nil"/>
            </w:tcBorders>
            <w:shd w:val="clear" w:color="auto" w:fill="538135"/>
            <w:vAlign w:val="center"/>
          </w:tcPr>
          <w:p w14:paraId="2EE5E25D">
            <w:pPr>
              <w:spacing w:line="360" w:lineRule="auto"/>
              <w:jc w:val="center"/>
              <w:rPr>
                <w:rFonts w:hint="eastAsia" w:ascii="宋体" w:hAnsi="宋体" w:eastAsia="宋体" w:cs="宋体"/>
                <w:b/>
                <w:bCs/>
                <w:snapToGrid w:val="0"/>
                <w:color w:val="FFFFFF"/>
                <w:sz w:val="24"/>
              </w:rPr>
            </w:pPr>
            <w:r>
              <w:rPr>
                <w:rFonts w:hint="eastAsia" w:ascii="宋体" w:hAnsi="宋体" w:eastAsia="宋体" w:cs="宋体"/>
                <w:b/>
                <w:bCs/>
                <w:snapToGrid w:val="0"/>
                <w:color w:val="FFFFFF"/>
                <w:sz w:val="24"/>
              </w:rPr>
              <w:t>管理项目</w:t>
            </w:r>
          </w:p>
        </w:tc>
        <w:tc>
          <w:tcPr>
            <w:tcW w:w="1844" w:type="pct"/>
            <w:tcBorders>
              <w:top w:val="single" w:color="000000" w:sz="4" w:space="0"/>
              <w:left w:val="single" w:color="000000" w:sz="4" w:space="0"/>
              <w:bottom w:val="single" w:color="000000" w:sz="4" w:space="0"/>
              <w:right w:val="single" w:color="000000" w:sz="4" w:space="0"/>
              <w:tl2br w:val="nil"/>
              <w:tr2bl w:val="nil"/>
            </w:tcBorders>
            <w:shd w:val="clear" w:color="auto" w:fill="538135"/>
            <w:vAlign w:val="center"/>
          </w:tcPr>
          <w:p w14:paraId="4429CD85">
            <w:pPr>
              <w:spacing w:line="360" w:lineRule="auto"/>
              <w:jc w:val="center"/>
              <w:rPr>
                <w:rFonts w:hint="eastAsia" w:ascii="宋体" w:hAnsi="宋体" w:eastAsia="宋体" w:cs="宋体"/>
                <w:b/>
                <w:bCs/>
                <w:snapToGrid w:val="0"/>
                <w:color w:val="FFFFFF"/>
                <w:sz w:val="24"/>
              </w:rPr>
            </w:pPr>
            <w:r>
              <w:rPr>
                <w:rFonts w:hint="eastAsia" w:ascii="宋体" w:hAnsi="宋体" w:eastAsia="宋体" w:cs="宋体"/>
                <w:b/>
                <w:bCs/>
                <w:snapToGrid w:val="0"/>
                <w:color w:val="FFFFFF"/>
                <w:sz w:val="24"/>
              </w:rPr>
              <w:t>方法、流程</w:t>
            </w:r>
          </w:p>
        </w:tc>
        <w:tc>
          <w:tcPr>
            <w:tcW w:w="1981" w:type="pct"/>
            <w:tcBorders>
              <w:top w:val="single" w:color="000000" w:sz="4" w:space="0"/>
              <w:left w:val="single" w:color="000000" w:sz="4" w:space="0"/>
              <w:bottom w:val="single" w:color="000000" w:sz="4" w:space="0"/>
              <w:right w:val="single" w:color="000000" w:sz="4" w:space="0"/>
              <w:tl2br w:val="nil"/>
              <w:tr2bl w:val="nil"/>
            </w:tcBorders>
            <w:shd w:val="clear" w:color="auto" w:fill="538135"/>
            <w:vAlign w:val="center"/>
          </w:tcPr>
          <w:p w14:paraId="12BE48F3">
            <w:pPr>
              <w:spacing w:line="360" w:lineRule="auto"/>
              <w:jc w:val="center"/>
              <w:rPr>
                <w:rFonts w:hint="eastAsia" w:ascii="宋体" w:hAnsi="宋体" w:eastAsia="宋体" w:cs="宋体"/>
                <w:b/>
                <w:bCs/>
                <w:snapToGrid w:val="0"/>
                <w:color w:val="FFFFFF"/>
                <w:sz w:val="24"/>
              </w:rPr>
            </w:pPr>
            <w:r>
              <w:rPr>
                <w:rFonts w:hint="eastAsia" w:ascii="宋体" w:hAnsi="宋体" w:eastAsia="宋体" w:cs="宋体"/>
                <w:b/>
                <w:bCs/>
                <w:snapToGrid w:val="0"/>
                <w:color w:val="FFFFFF"/>
                <w:sz w:val="24"/>
              </w:rPr>
              <w:t>相应制度</w:t>
            </w:r>
          </w:p>
        </w:tc>
      </w:tr>
      <w:tr w14:paraId="4A12D54E">
        <w:tblPrEx>
          <w:tblCellMar>
            <w:top w:w="0" w:type="dxa"/>
            <w:left w:w="108" w:type="dxa"/>
            <w:bottom w:w="0" w:type="dxa"/>
            <w:right w:w="108" w:type="dxa"/>
          </w:tblCellMar>
        </w:tblPrEx>
        <w:trPr>
          <w:trHeight w:val="1593" w:hRule="exact"/>
          <w:jc w:val="center"/>
        </w:trPr>
        <w:tc>
          <w:tcPr>
            <w:tcW w:w="1175"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C341E9">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供应商开发</w:t>
            </w:r>
          </w:p>
        </w:tc>
        <w:tc>
          <w:tcPr>
            <w:tcW w:w="184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C45678">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公司根据年度新产品开发对材料的技术需求，通过网络、发函已合作供应商、行业协会等途径对所需材料按供应商评审程序进行联系和筛选。</w:t>
            </w:r>
          </w:p>
        </w:tc>
        <w:tc>
          <w:tcPr>
            <w:tcW w:w="1981"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3616BB">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《合格供方评定准则》</w:t>
            </w:r>
          </w:p>
        </w:tc>
      </w:tr>
      <w:tr w14:paraId="6790BF33">
        <w:tblPrEx>
          <w:tblCellMar>
            <w:top w:w="0" w:type="dxa"/>
            <w:left w:w="108" w:type="dxa"/>
            <w:bottom w:w="0" w:type="dxa"/>
            <w:right w:w="108" w:type="dxa"/>
          </w:tblCellMar>
        </w:tblPrEx>
        <w:trPr>
          <w:trHeight w:val="1343" w:hRule="exact"/>
          <w:jc w:val="center"/>
        </w:trPr>
        <w:tc>
          <w:tcPr>
            <w:tcW w:w="1175" w:type="pct"/>
            <w:tcBorders>
              <w:top w:val="single" w:color="000000" w:sz="4" w:space="0"/>
              <w:left w:val="single" w:color="000000" w:sz="4" w:space="0"/>
              <w:bottom w:val="single" w:color="000000" w:sz="4" w:space="0"/>
              <w:right w:val="single" w:color="000000" w:sz="4" w:space="0"/>
              <w:tl2br w:val="nil"/>
              <w:tr2bl w:val="nil"/>
            </w:tcBorders>
            <w:vAlign w:val="center"/>
          </w:tcPr>
          <w:p w14:paraId="4F8DF537">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供应商审核</w:t>
            </w:r>
          </w:p>
        </w:tc>
        <w:tc>
          <w:tcPr>
            <w:tcW w:w="1844" w:type="pct"/>
            <w:tcBorders>
              <w:top w:val="single" w:color="000000" w:sz="4" w:space="0"/>
              <w:left w:val="single" w:color="000000" w:sz="4" w:space="0"/>
              <w:bottom w:val="single" w:color="000000" w:sz="4" w:space="0"/>
              <w:right w:val="single" w:color="000000" w:sz="4" w:space="0"/>
              <w:tl2br w:val="nil"/>
              <w:tr2bl w:val="nil"/>
            </w:tcBorders>
            <w:vAlign w:val="center"/>
          </w:tcPr>
          <w:p w14:paraId="14051DB1">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按照现场评审→小样品鉴定→小批量鉴定→综评→签订合同、建立合作关系的流程进行供应商的进入审核。</w:t>
            </w:r>
          </w:p>
        </w:tc>
        <w:tc>
          <w:tcPr>
            <w:tcW w:w="1981" w:type="pct"/>
            <w:tcBorders>
              <w:top w:val="single" w:color="000000" w:sz="4" w:space="0"/>
              <w:left w:val="single" w:color="000000" w:sz="4" w:space="0"/>
              <w:bottom w:val="single" w:color="000000" w:sz="4" w:space="0"/>
              <w:right w:val="single" w:color="000000" w:sz="4" w:space="0"/>
              <w:tl2br w:val="nil"/>
              <w:tr2bl w:val="nil"/>
            </w:tcBorders>
            <w:vAlign w:val="center"/>
          </w:tcPr>
          <w:p w14:paraId="2350D98F">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《外部提供产品、服务和过程控制程序》</w:t>
            </w:r>
          </w:p>
          <w:p w14:paraId="6FB6F6A6">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《过程审核报告》</w:t>
            </w:r>
          </w:p>
          <w:p w14:paraId="592124E1">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《合格供方评定准则》</w:t>
            </w:r>
          </w:p>
        </w:tc>
      </w:tr>
      <w:tr w14:paraId="4F135106">
        <w:tblPrEx>
          <w:tblCellMar>
            <w:top w:w="0" w:type="dxa"/>
            <w:left w:w="108" w:type="dxa"/>
            <w:bottom w:w="0" w:type="dxa"/>
            <w:right w:w="108" w:type="dxa"/>
          </w:tblCellMar>
        </w:tblPrEx>
        <w:trPr>
          <w:trHeight w:val="1298" w:hRule="exact"/>
          <w:jc w:val="center"/>
        </w:trPr>
        <w:tc>
          <w:tcPr>
            <w:tcW w:w="1175"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7040435">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合作供应商评估考核</w:t>
            </w:r>
          </w:p>
        </w:tc>
        <w:tc>
          <w:tcPr>
            <w:tcW w:w="1844"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02248AF">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从质量、交期、价格、服务四个维度对供应商的日常表现进行定期记录并考核，促进供应商提升供应水平。</w:t>
            </w:r>
          </w:p>
        </w:tc>
        <w:tc>
          <w:tcPr>
            <w:tcW w:w="1981"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4B3CD7">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《过程审核报告》</w:t>
            </w:r>
          </w:p>
          <w:p w14:paraId="1769C0BA">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《合格供方评定准则》</w:t>
            </w:r>
          </w:p>
        </w:tc>
      </w:tr>
      <w:tr w14:paraId="4A0E3888">
        <w:tblPrEx>
          <w:tblCellMar>
            <w:top w:w="0" w:type="dxa"/>
            <w:left w:w="108" w:type="dxa"/>
            <w:bottom w:w="0" w:type="dxa"/>
            <w:right w:w="108" w:type="dxa"/>
          </w:tblCellMar>
        </w:tblPrEx>
        <w:trPr>
          <w:trHeight w:val="1565" w:hRule="exact"/>
          <w:jc w:val="center"/>
        </w:trPr>
        <w:tc>
          <w:tcPr>
            <w:tcW w:w="1175" w:type="pct"/>
            <w:tcBorders>
              <w:top w:val="single" w:color="000000" w:sz="4" w:space="0"/>
              <w:left w:val="single" w:color="000000" w:sz="4" w:space="0"/>
              <w:bottom w:val="single" w:color="000000" w:sz="4" w:space="0"/>
              <w:right w:val="single" w:color="000000" w:sz="4" w:space="0"/>
              <w:tl2br w:val="nil"/>
              <w:tr2bl w:val="nil"/>
            </w:tcBorders>
            <w:vAlign w:val="center"/>
          </w:tcPr>
          <w:p w14:paraId="33182886">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供应商竞争机制建设</w:t>
            </w:r>
          </w:p>
        </w:tc>
        <w:tc>
          <w:tcPr>
            <w:tcW w:w="1844" w:type="pct"/>
            <w:tcBorders>
              <w:top w:val="single" w:color="000000" w:sz="4" w:space="0"/>
              <w:left w:val="single" w:color="000000" w:sz="4" w:space="0"/>
              <w:bottom w:val="single" w:color="000000" w:sz="4" w:space="0"/>
              <w:right w:val="single" w:color="000000" w:sz="4" w:space="0"/>
              <w:tl2br w:val="nil"/>
              <w:tr2bl w:val="nil"/>
            </w:tcBorders>
            <w:vAlign w:val="center"/>
          </w:tcPr>
          <w:p w14:paraId="40D77240">
            <w:pPr>
              <w:autoSpaceDE w:val="0"/>
              <w:autoSpaceDN w:val="0"/>
              <w:adjustRightInd w:val="0"/>
              <w:jc w:val="left"/>
              <w:rPr>
                <w:rFonts w:hint="eastAsia" w:ascii="宋体" w:hAnsi="宋体" w:eastAsia="宋体" w:cs="宋体"/>
                <w:snapToGrid w:val="0"/>
                <w:color w:val="000000"/>
                <w:szCs w:val="22"/>
              </w:rPr>
            </w:pPr>
            <w:r>
              <w:rPr>
                <w:rFonts w:hint="eastAsia" w:ascii="宋体" w:hAnsi="宋体" w:eastAsia="宋体" w:cs="宋体"/>
                <w:snapToGrid w:val="0"/>
                <w:color w:val="000000"/>
                <w:szCs w:val="22"/>
              </w:rPr>
              <w:t>主要材料开发两家及以上供应商供货及采取招标办法，形成良性竞争局势，促进供应商提升综合水准并达到控制成本的目的。</w:t>
            </w:r>
          </w:p>
        </w:tc>
        <w:tc>
          <w:tcPr>
            <w:tcW w:w="1981" w:type="pct"/>
            <w:tcBorders>
              <w:top w:val="single" w:color="000000" w:sz="4" w:space="0"/>
              <w:left w:val="single" w:color="000000" w:sz="4" w:space="0"/>
              <w:bottom w:val="single" w:color="000000" w:sz="4" w:space="0"/>
              <w:right w:val="single" w:color="000000" w:sz="4" w:space="0"/>
              <w:tl2br w:val="nil"/>
              <w:tr2bl w:val="nil"/>
            </w:tcBorders>
            <w:vAlign w:val="center"/>
          </w:tcPr>
          <w:p w14:paraId="2446C55D">
            <w:pPr>
              <w:autoSpaceDE w:val="0"/>
              <w:autoSpaceDN w:val="0"/>
              <w:adjustRightInd w:val="0"/>
              <w:jc w:val="center"/>
              <w:rPr>
                <w:rFonts w:hint="eastAsia" w:ascii="宋体" w:hAnsi="宋体" w:eastAsia="宋体" w:cs="宋体"/>
                <w:snapToGrid w:val="0"/>
                <w:color w:val="000000"/>
                <w:szCs w:val="22"/>
              </w:rPr>
            </w:pPr>
            <w:r>
              <w:rPr>
                <w:rFonts w:hint="eastAsia" w:ascii="宋体" w:hAnsi="宋体" w:eastAsia="宋体" w:cs="宋体"/>
                <w:snapToGrid w:val="0"/>
                <w:color w:val="000000"/>
                <w:szCs w:val="22"/>
              </w:rPr>
              <w:t>《合格供方评定准则》</w:t>
            </w:r>
          </w:p>
        </w:tc>
      </w:tr>
    </w:tbl>
    <w:p w14:paraId="1E9B98A4">
      <w:pPr>
        <w:autoSpaceDE w:val="0"/>
        <w:autoSpaceDN w:val="0"/>
        <w:adjustRightInd w:val="0"/>
        <w:spacing w:line="360" w:lineRule="auto"/>
        <w:ind w:firstLine="466" w:firstLineChars="200"/>
        <w:jc w:val="left"/>
        <w:rPr>
          <w:rFonts w:hint="eastAsia" w:ascii="宋体" w:hAnsi="宋体" w:eastAsia="宋体" w:cs="黑体"/>
          <w:b/>
          <w:bCs/>
          <w:color w:val="000000"/>
          <w:spacing w:val="-4"/>
          <w:sz w:val="24"/>
          <w:szCs w:val="28"/>
        </w:rPr>
      </w:pPr>
      <w:r>
        <w:rPr>
          <w:rFonts w:hint="eastAsia" w:ascii="宋体" w:hAnsi="宋体" w:eastAsia="宋体" w:cs="黑体"/>
          <w:b/>
          <w:bCs/>
          <w:color w:val="000000"/>
          <w:spacing w:val="-4"/>
          <w:sz w:val="24"/>
          <w:szCs w:val="28"/>
        </w:rPr>
        <w:t>（4）生产过程诚信管理</w:t>
      </w:r>
    </w:p>
    <w:p w14:paraId="523BA03F">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依据生产过程准时交货、产品合格、效率最高、成本最小化、战略项目持续攻关的要求，为实现公司设定的生产计划达成率、产品一次交验合格率、重大安全事故为零、万元人均产值等绩效指标，公司设立了生产管理部，结合先进设备、自主研究的信息化系统支持平台、持续改进的柔性化精益管理理念，以及产品个性化制定的特殊要求来设计产品制造过程。</w:t>
      </w:r>
    </w:p>
    <w:p w14:paraId="547F7477">
      <w:pPr>
        <w:autoSpaceDE w:val="0"/>
        <w:autoSpaceDN w:val="0"/>
        <w:adjustRightInd w:val="0"/>
        <w:spacing w:line="360" w:lineRule="auto"/>
        <w:ind w:firstLine="464" w:firstLineChars="200"/>
        <w:jc w:val="left"/>
        <w:rPr>
          <w:rFonts w:hint="eastAsia" w:ascii="宋体" w:hAnsi="宋体" w:eastAsia="宋体" w:cs="微软雅黑"/>
          <w:color w:val="000000"/>
          <w:spacing w:val="-4"/>
          <w:sz w:val="28"/>
          <w:szCs w:val="28"/>
        </w:rPr>
      </w:pPr>
      <w:r>
        <w:rPr>
          <w:rFonts w:hint="eastAsia" w:ascii="宋体" w:hAnsi="宋体" w:eastAsia="宋体" w:cs="微软雅黑"/>
          <w:color w:val="000000"/>
          <w:spacing w:val="-4"/>
          <w:sz w:val="24"/>
          <w:szCs w:val="28"/>
        </w:rPr>
        <w:t>公司将新工艺、新技术、各类生产经营信息，全面融合到整个生产过程中，借助MES优秀管理系统平台，以及深厚的行业实践经验和技术能力，优化流程持续提高产品过程流价值，满足客户的质量、交期、成本的要求。按照《生产和服务提供控制程序》、《监视和测量资源控制程序》、《不合格输出控制程序》、《改进控制程序》等规章制度，开展生产过程管理工作。</w:t>
      </w:r>
    </w:p>
    <w:p w14:paraId="38A3E26E">
      <w:pPr>
        <w:spacing w:before="156" w:beforeLines="50" w:line="360" w:lineRule="auto"/>
        <w:ind w:firstLine="482" w:firstLineChars="200"/>
        <w:outlineLvl w:val="2"/>
        <w:rPr>
          <w:rFonts w:hint="eastAsia" w:ascii="宋体" w:hAnsi="宋体" w:eastAsia="宋体" w:cs="楷体"/>
          <w:b/>
          <w:color w:val="000000"/>
          <w:sz w:val="24"/>
          <w:szCs w:val="36"/>
        </w:rPr>
      </w:pPr>
      <w:bookmarkStart w:id="19" w:name="_Toc48809474"/>
      <w:r>
        <w:rPr>
          <w:rFonts w:hint="eastAsia" w:ascii="宋体" w:hAnsi="宋体" w:eastAsia="宋体" w:cs="楷体"/>
          <w:b/>
          <w:color w:val="000000"/>
          <w:sz w:val="24"/>
          <w:szCs w:val="36"/>
        </w:rPr>
        <w:t>（三）营销管理</w:t>
      </w:r>
      <w:bookmarkEnd w:id="19"/>
    </w:p>
    <w:p w14:paraId="023270B4">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获取最大市场份额、顾客满意、完成销售任务的要求，为实现销售达成率、市场占有率、客户投诉率、销售收入增长率等绩效指标，公司设立销售管理部。公司从市场调研和细分开始，收集情报，根据不同顾客群及其差异化需求，制定相应的营销方案或策略，在此基础上进行市场开发、建立业务关系、顾客服务与顾客管理等活动，并通过信息的传递、反馈，进行营销服务过程的设计。</w:t>
      </w:r>
    </w:p>
    <w:p w14:paraId="641A5B97">
      <w:pPr>
        <w:widowControl/>
        <w:spacing w:line="360" w:lineRule="auto"/>
        <w:jc w:val="center"/>
        <w:rPr>
          <w:rFonts w:hint="eastAsia" w:ascii="宋体" w:hAnsi="宋体" w:eastAsia="宋体" w:cs="宋体"/>
          <w:bCs/>
          <w:szCs w:val="22"/>
        </w:rPr>
      </w:pPr>
      <w:r>
        <w:rPr>
          <w:rFonts w:ascii="宋体" w:hAnsi="宋体"/>
          <w:color w:val="000000"/>
          <w:sz w:val="17"/>
        </w:rPr>
        <w:drawing>
          <wp:inline distT="0" distB="0" distL="114300" distR="114300">
            <wp:extent cx="4648200" cy="2953385"/>
            <wp:effectExtent l="0" t="0" r="0" b="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spect="1"/>
                    </pic:cNvPicPr>
                  </pic:nvPicPr>
                  <pic:blipFill>
                    <a:blip r:embed="rId10"/>
                    <a:stretch>
                      <a:fillRect/>
                    </a:stretch>
                  </pic:blipFill>
                  <pic:spPr>
                    <a:xfrm>
                      <a:off x="0" y="0"/>
                      <a:ext cx="4655824" cy="2958403"/>
                    </a:xfrm>
                    <a:prstGeom prst="rect">
                      <a:avLst/>
                    </a:prstGeom>
                    <a:noFill/>
                    <a:ln>
                      <a:noFill/>
                    </a:ln>
                  </pic:spPr>
                </pic:pic>
              </a:graphicData>
            </a:graphic>
          </wp:inline>
        </w:drawing>
      </w:r>
    </w:p>
    <w:p w14:paraId="6238A485">
      <w:pPr>
        <w:widowControl/>
        <w:spacing w:line="360" w:lineRule="auto"/>
        <w:jc w:val="center"/>
        <w:rPr>
          <w:rFonts w:hint="eastAsia" w:ascii="宋体" w:hAnsi="宋体" w:eastAsia="宋体" w:cs="Times New Roman"/>
          <w:b/>
          <w:color w:val="FF0000"/>
          <w:sz w:val="24"/>
          <w:szCs w:val="28"/>
          <w:highlight w:val="yellow"/>
        </w:rPr>
      </w:pPr>
      <w:r>
        <w:rPr>
          <w:rFonts w:hint="eastAsia" w:ascii="宋体" w:hAnsi="宋体" w:eastAsia="宋体" w:cs="宋体"/>
          <w:b/>
          <w:sz w:val="24"/>
          <w:szCs w:val="28"/>
        </w:rPr>
        <w:t>图3 营销过程设计流程图</w:t>
      </w:r>
    </w:p>
    <w:p w14:paraId="320C6C0B">
      <w:pPr>
        <w:spacing w:before="156" w:beforeLines="50" w:line="360" w:lineRule="auto"/>
        <w:outlineLvl w:val="1"/>
        <w:rPr>
          <w:rFonts w:hint="eastAsia" w:ascii="宋体" w:hAnsi="宋体" w:eastAsia="宋体" w:cs="楷体"/>
          <w:b/>
          <w:color w:val="000000"/>
          <w:sz w:val="28"/>
          <w:szCs w:val="36"/>
        </w:rPr>
      </w:pPr>
      <w:bookmarkStart w:id="20" w:name="_Toc48809475"/>
      <w:r>
        <w:rPr>
          <w:rFonts w:hint="eastAsia" w:ascii="宋体" w:hAnsi="宋体" w:eastAsia="宋体" w:cs="楷体"/>
          <w:b/>
          <w:color w:val="000000"/>
          <w:sz w:val="28"/>
          <w:szCs w:val="36"/>
        </w:rPr>
        <w:t>四、企业质量基础</w:t>
      </w:r>
      <w:bookmarkEnd w:id="20"/>
    </w:p>
    <w:p w14:paraId="2199A0CA">
      <w:pPr>
        <w:spacing w:line="360" w:lineRule="auto"/>
        <w:ind w:firstLine="482" w:firstLineChars="200"/>
        <w:outlineLvl w:val="2"/>
        <w:rPr>
          <w:rFonts w:hint="eastAsia" w:ascii="宋体" w:hAnsi="宋体" w:eastAsia="宋体" w:cs="楷体"/>
          <w:b/>
          <w:color w:val="000000"/>
          <w:sz w:val="24"/>
          <w:szCs w:val="32"/>
        </w:rPr>
      </w:pPr>
      <w:bookmarkStart w:id="21" w:name="_Toc48809476"/>
      <w:r>
        <w:rPr>
          <w:rFonts w:hint="eastAsia" w:ascii="宋体" w:hAnsi="宋体" w:eastAsia="宋体" w:cs="楷体"/>
          <w:b/>
          <w:color w:val="000000"/>
          <w:sz w:val="24"/>
          <w:szCs w:val="32"/>
        </w:rPr>
        <w:t>（一）标准管理情况</w:t>
      </w:r>
      <w:bookmarkEnd w:id="21"/>
    </w:p>
    <w:p w14:paraId="1DBA211A">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标准是提高产品品质和节能降耗的一个重要因素，公司积极引用国际标准及国外先进标准。在原材料采购、产品制造和加工、半成品和成品检验等各个产品生产环节制定较为严格的内控指标，并引用或制定相关标准为生产提供支撑，对整个生产环境加以标准化规范管理。为保证产品质量、提高企业的管理水平提供良好的保障。</w:t>
      </w:r>
    </w:p>
    <w:p w14:paraId="0894B35F">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旨恒机床严格执行国家和行业技术标准外，在此基础上，旨恒机床积极对标“国内一流 国际先进”的浙江制造团体标准T/ZZB 2090—2021《电主轴车铣复合机床》开展“浙江制造”认证。</w:t>
      </w:r>
    </w:p>
    <w:p w14:paraId="4BB1FD95">
      <w:pPr>
        <w:spacing w:line="360" w:lineRule="auto"/>
        <w:ind w:firstLine="482" w:firstLineChars="200"/>
        <w:outlineLvl w:val="2"/>
        <w:rPr>
          <w:rFonts w:hint="eastAsia" w:ascii="宋体" w:hAnsi="宋体" w:eastAsia="宋体" w:cs="楷体"/>
          <w:b/>
          <w:color w:val="000000"/>
          <w:sz w:val="24"/>
          <w:szCs w:val="32"/>
        </w:rPr>
      </w:pPr>
      <w:bookmarkStart w:id="22" w:name="_Toc48809477"/>
      <w:r>
        <w:rPr>
          <w:rFonts w:hint="eastAsia" w:ascii="宋体" w:hAnsi="宋体" w:eastAsia="宋体" w:cs="楷体"/>
          <w:b/>
          <w:color w:val="000000"/>
          <w:sz w:val="24"/>
          <w:szCs w:val="32"/>
        </w:rPr>
        <w:t>（二）计量管理情况</w:t>
      </w:r>
      <w:bookmarkEnd w:id="22"/>
    </w:p>
    <w:p w14:paraId="065A0E35">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建立了较完善的计量保证体系，出台了计量手册、程序文件等，确定了企业近期的计量方针和目标，规定了计量管理机构及人员的权限和职责，描述了计量活动的诸要素，规定了浙江旨恒机床有限公司的计量方针、目标、计量管理机构的设置、主要职能部门、人员的计量职责、计量体系要求的建立、计量体系文件和管理等。</w:t>
      </w:r>
    </w:p>
    <w:p w14:paraId="47DFA8E6">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生产管理部负责生产制造相关基础设施的维护，严格按照维护保养制度落实，确保生产设施始终处于良好运行状态。办公室负责对厂房、办公楼、食堂、宿舍等生活、后勤、办公设施的维护。公司制定了设备三级保养制度等设备维护保养相关制度。每台设备均建立了档案资料，包括设备图纸、使用说明书、使用/维护保养工艺卡、验收报告、日常点检保养记录等，并实行车间、维修人员、使用人员的三级预防性维护保养制度。</w:t>
      </w:r>
    </w:p>
    <w:p w14:paraId="6A5F4862">
      <w:pPr>
        <w:jc w:val="center"/>
        <w:rPr>
          <w:rFonts w:hint="eastAsia" w:ascii="宋体" w:hAnsi="宋体" w:eastAsia="宋体" w:cs="宋体"/>
          <w:b/>
          <w:bCs/>
          <w:sz w:val="24"/>
        </w:rPr>
      </w:pPr>
      <w:r>
        <w:rPr>
          <w:rFonts w:hint="eastAsia" w:ascii="宋体" w:hAnsi="宋体" w:eastAsia="宋体" w:cs="宋体"/>
          <w:b/>
          <w:bCs/>
          <w:sz w:val="24"/>
        </w:rPr>
        <w:t>表3 设备三级维护保养制度</w:t>
      </w:r>
    </w:p>
    <w:tbl>
      <w:tblPr>
        <w:tblStyle w:val="1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37"/>
        <w:gridCol w:w="3784"/>
        <w:gridCol w:w="2888"/>
      </w:tblGrid>
      <w:tr w14:paraId="1240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blHeader/>
          <w:jc w:val="center"/>
        </w:trPr>
        <w:tc>
          <w:tcPr>
            <w:tcW w:w="961" w:type="dxa"/>
            <w:shd w:val="clear" w:color="auto" w:fill="538135"/>
            <w:vAlign w:val="center"/>
          </w:tcPr>
          <w:p w14:paraId="6468C6B8">
            <w:pPr>
              <w:adjustRightInd w:val="0"/>
              <w:snapToGrid w:val="0"/>
              <w:spacing w:before="50" w:line="300" w:lineRule="auto"/>
              <w:jc w:val="center"/>
              <w:rPr>
                <w:rFonts w:hint="eastAsia" w:ascii="宋体" w:hAnsi="宋体" w:eastAsia="宋体" w:cs="Times New Roman"/>
                <w:b/>
                <w:bCs/>
                <w:snapToGrid w:val="0"/>
                <w:color w:val="FFFFFF"/>
                <w:sz w:val="24"/>
              </w:rPr>
            </w:pPr>
            <w:r>
              <w:rPr>
                <w:rFonts w:hint="eastAsia" w:ascii="宋体" w:hAnsi="宋体" w:eastAsia="宋体" w:cs="宋体"/>
                <w:b/>
                <w:bCs/>
                <w:snapToGrid w:val="0"/>
                <w:color w:val="FFFFFF"/>
                <w:sz w:val="24"/>
              </w:rPr>
              <w:t>级别</w:t>
            </w:r>
          </w:p>
        </w:tc>
        <w:tc>
          <w:tcPr>
            <w:tcW w:w="1937" w:type="dxa"/>
            <w:shd w:val="clear" w:color="auto" w:fill="538135"/>
            <w:vAlign w:val="center"/>
          </w:tcPr>
          <w:p w14:paraId="229C68FF">
            <w:pPr>
              <w:adjustRightInd w:val="0"/>
              <w:snapToGrid w:val="0"/>
              <w:spacing w:before="50" w:line="300" w:lineRule="auto"/>
              <w:jc w:val="center"/>
              <w:rPr>
                <w:rFonts w:hint="eastAsia" w:ascii="宋体" w:hAnsi="宋体" w:eastAsia="宋体" w:cs="Times New Roman"/>
                <w:b/>
                <w:bCs/>
                <w:snapToGrid w:val="0"/>
                <w:color w:val="FFFFFF"/>
                <w:sz w:val="24"/>
              </w:rPr>
            </w:pPr>
            <w:r>
              <w:rPr>
                <w:rFonts w:hint="eastAsia" w:ascii="宋体" w:hAnsi="宋体" w:eastAsia="宋体" w:cs="宋体"/>
                <w:b/>
                <w:bCs/>
                <w:snapToGrid w:val="0"/>
                <w:color w:val="FFFFFF"/>
                <w:sz w:val="24"/>
              </w:rPr>
              <w:t>负责人</w:t>
            </w:r>
          </w:p>
        </w:tc>
        <w:tc>
          <w:tcPr>
            <w:tcW w:w="3784" w:type="dxa"/>
            <w:shd w:val="clear" w:color="auto" w:fill="538135"/>
            <w:vAlign w:val="center"/>
          </w:tcPr>
          <w:p w14:paraId="6574C48B">
            <w:pPr>
              <w:adjustRightInd w:val="0"/>
              <w:snapToGrid w:val="0"/>
              <w:spacing w:before="50" w:line="300" w:lineRule="auto"/>
              <w:jc w:val="center"/>
              <w:rPr>
                <w:rFonts w:hint="eastAsia" w:ascii="宋体" w:hAnsi="宋体" w:eastAsia="宋体" w:cs="Times New Roman"/>
                <w:b/>
                <w:bCs/>
                <w:snapToGrid w:val="0"/>
                <w:color w:val="FFFFFF"/>
                <w:sz w:val="24"/>
              </w:rPr>
            </w:pPr>
            <w:r>
              <w:rPr>
                <w:rFonts w:hint="eastAsia" w:ascii="宋体" w:hAnsi="宋体" w:eastAsia="宋体" w:cs="宋体"/>
                <w:b/>
                <w:bCs/>
                <w:snapToGrid w:val="0"/>
                <w:color w:val="FFFFFF"/>
                <w:sz w:val="24"/>
              </w:rPr>
              <w:t>方法</w:t>
            </w:r>
          </w:p>
        </w:tc>
        <w:tc>
          <w:tcPr>
            <w:tcW w:w="2888" w:type="dxa"/>
            <w:shd w:val="clear" w:color="auto" w:fill="538135"/>
            <w:vAlign w:val="center"/>
          </w:tcPr>
          <w:p w14:paraId="4BA4F464">
            <w:pPr>
              <w:adjustRightInd w:val="0"/>
              <w:snapToGrid w:val="0"/>
              <w:spacing w:before="50" w:line="300" w:lineRule="auto"/>
              <w:jc w:val="center"/>
              <w:rPr>
                <w:rFonts w:hint="eastAsia" w:ascii="宋体" w:hAnsi="宋体" w:eastAsia="宋体" w:cs="Times New Roman"/>
                <w:b/>
                <w:bCs/>
                <w:snapToGrid w:val="0"/>
                <w:color w:val="FFFFFF"/>
                <w:sz w:val="24"/>
              </w:rPr>
            </w:pPr>
            <w:r>
              <w:rPr>
                <w:rFonts w:hint="eastAsia" w:ascii="宋体" w:hAnsi="宋体" w:eastAsia="宋体" w:cs="宋体"/>
                <w:b/>
                <w:bCs/>
                <w:snapToGrid w:val="0"/>
                <w:color w:val="FFFFFF"/>
                <w:sz w:val="24"/>
              </w:rPr>
              <w:t>记录</w:t>
            </w:r>
          </w:p>
        </w:tc>
      </w:tr>
      <w:tr w14:paraId="0409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61" w:type="dxa"/>
            <w:vAlign w:val="center"/>
          </w:tcPr>
          <w:p w14:paraId="51D7700C">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一级</w:t>
            </w:r>
          </w:p>
        </w:tc>
        <w:tc>
          <w:tcPr>
            <w:tcW w:w="1937" w:type="dxa"/>
            <w:vAlign w:val="center"/>
          </w:tcPr>
          <w:p w14:paraId="50F25825">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生产管理部负责人</w:t>
            </w:r>
          </w:p>
        </w:tc>
        <w:tc>
          <w:tcPr>
            <w:tcW w:w="3784" w:type="dxa"/>
            <w:vAlign w:val="center"/>
          </w:tcPr>
          <w:p w14:paraId="7C2C70D5">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年度大修设备</w:t>
            </w:r>
          </w:p>
        </w:tc>
        <w:tc>
          <w:tcPr>
            <w:tcW w:w="2888" w:type="dxa"/>
            <w:vAlign w:val="center"/>
          </w:tcPr>
          <w:p w14:paraId="4FF1A313">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设备记录表</w:t>
            </w:r>
          </w:p>
        </w:tc>
      </w:tr>
      <w:tr w14:paraId="35BE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0B13F2CD">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二级</w:t>
            </w:r>
          </w:p>
        </w:tc>
        <w:tc>
          <w:tcPr>
            <w:tcW w:w="1937" w:type="dxa"/>
            <w:vAlign w:val="center"/>
          </w:tcPr>
          <w:p w14:paraId="17566BAE">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维修人员</w:t>
            </w:r>
          </w:p>
        </w:tc>
        <w:tc>
          <w:tcPr>
            <w:tcW w:w="3784" w:type="dxa"/>
            <w:vAlign w:val="center"/>
          </w:tcPr>
          <w:p w14:paraId="696DB771">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按保养计划，定期检查、维护、保养（月检、季检等）</w:t>
            </w:r>
          </w:p>
        </w:tc>
        <w:tc>
          <w:tcPr>
            <w:tcW w:w="2888" w:type="dxa"/>
            <w:vAlign w:val="center"/>
          </w:tcPr>
          <w:p w14:paraId="312363F6">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设备维修记录</w:t>
            </w:r>
          </w:p>
        </w:tc>
      </w:tr>
      <w:tr w14:paraId="5B93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61" w:type="dxa"/>
            <w:vAlign w:val="center"/>
          </w:tcPr>
          <w:p w14:paraId="6C793817">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三级</w:t>
            </w:r>
          </w:p>
        </w:tc>
        <w:tc>
          <w:tcPr>
            <w:tcW w:w="1937" w:type="dxa"/>
            <w:vAlign w:val="center"/>
          </w:tcPr>
          <w:p w14:paraId="0169C5D7">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员工</w:t>
            </w:r>
          </w:p>
        </w:tc>
        <w:tc>
          <w:tcPr>
            <w:tcW w:w="3784" w:type="dxa"/>
            <w:vAlign w:val="center"/>
          </w:tcPr>
          <w:p w14:paraId="51D789C5">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宋体"/>
                <w:snapToGrid w:val="0"/>
                <w:color w:val="000000"/>
                <w:szCs w:val="22"/>
              </w:rPr>
              <w:t>每日检查、日常点检</w:t>
            </w:r>
          </w:p>
        </w:tc>
        <w:tc>
          <w:tcPr>
            <w:tcW w:w="2888" w:type="dxa"/>
            <w:vAlign w:val="center"/>
          </w:tcPr>
          <w:p w14:paraId="54CD1B0A">
            <w:pPr>
              <w:adjustRightInd w:val="0"/>
              <w:snapToGrid w:val="0"/>
              <w:jc w:val="center"/>
              <w:rPr>
                <w:rFonts w:hint="eastAsia" w:ascii="宋体" w:hAnsi="宋体" w:eastAsia="宋体" w:cs="Times New Roman"/>
                <w:snapToGrid w:val="0"/>
                <w:color w:val="000000"/>
                <w:szCs w:val="22"/>
              </w:rPr>
            </w:pPr>
            <w:r>
              <w:rPr>
                <w:rFonts w:hint="eastAsia" w:ascii="宋体" w:hAnsi="宋体" w:eastAsia="宋体" w:cs="Times New Roman"/>
                <w:snapToGrid w:val="0"/>
                <w:color w:val="000000"/>
                <w:szCs w:val="22"/>
              </w:rPr>
              <w:t>设备点检表</w:t>
            </w:r>
          </w:p>
        </w:tc>
      </w:tr>
    </w:tbl>
    <w:p w14:paraId="39B50269">
      <w:pPr>
        <w:autoSpaceDE w:val="0"/>
        <w:autoSpaceDN w:val="0"/>
        <w:adjustRightInd w:val="0"/>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制定设备维修保养计划时，充分考虑设备的故障规律，并根据设备的实际使用情况和以往的维修记录，识别出设备的薄弱部件，做好备品配件，以便在设备出现临时故障时能够快速反应，快速恢复生产。</w:t>
      </w:r>
    </w:p>
    <w:p w14:paraId="702A518E">
      <w:pPr>
        <w:spacing w:line="360" w:lineRule="auto"/>
        <w:ind w:firstLine="482" w:firstLineChars="200"/>
        <w:outlineLvl w:val="2"/>
        <w:rPr>
          <w:rFonts w:hint="eastAsia" w:ascii="宋体" w:hAnsi="宋体" w:eastAsia="宋体" w:cs="楷体"/>
          <w:b/>
          <w:color w:val="000000"/>
          <w:sz w:val="24"/>
          <w:szCs w:val="32"/>
        </w:rPr>
      </w:pPr>
      <w:bookmarkStart w:id="23" w:name="_Toc48809478"/>
      <w:r>
        <w:rPr>
          <w:rFonts w:hint="eastAsia" w:ascii="宋体" w:hAnsi="宋体" w:eastAsia="宋体" w:cs="楷体"/>
          <w:b/>
          <w:color w:val="000000"/>
          <w:sz w:val="24"/>
          <w:szCs w:val="32"/>
        </w:rPr>
        <w:t>（三）认证管理情况</w:t>
      </w:r>
      <w:bookmarkEnd w:id="23"/>
    </w:p>
    <w:p w14:paraId="2287A581">
      <w:pPr>
        <w:spacing w:line="360" w:lineRule="auto"/>
        <w:rPr>
          <w:rFonts w:hint="eastAsia" w:ascii="宋体" w:hAnsi="宋体" w:eastAsia="宋体" w:cs="微软雅黑"/>
          <w:color w:val="000000"/>
          <w:spacing w:val="-4"/>
          <w:sz w:val="24"/>
          <w:szCs w:val="28"/>
        </w:rPr>
      </w:pPr>
      <w:r>
        <w:rPr>
          <w:rFonts w:hint="eastAsia" w:ascii="宋体" w:hAnsi="宋体" w:eastAsia="宋体" w:cs="Times New Roman"/>
          <w:sz w:val="28"/>
          <w:szCs w:val="28"/>
        </w:rPr>
        <w:t>　</w:t>
      </w:r>
      <w:r>
        <w:rPr>
          <w:rFonts w:hint="eastAsia" w:ascii="宋体" w:hAnsi="宋体" w:eastAsia="宋体" w:cs="微软雅黑"/>
          <w:color w:val="000000"/>
          <w:spacing w:val="-4"/>
          <w:sz w:val="24"/>
          <w:szCs w:val="28"/>
        </w:rPr>
        <w:t xml:space="preserve"> 公司通过了ISO 9001质量管理体系认证、ISO 14001环境管理体系认证、ISO 45001职业健康安全管理体系认证。同时，公司一直致力于管理进步和管理创新，通过技术进步和管理创新，持续改进产品质量，不断满足顾客日益增长的需求。</w:t>
      </w:r>
    </w:p>
    <w:p w14:paraId="48E51583">
      <w:pPr>
        <w:spacing w:line="360" w:lineRule="auto"/>
        <w:ind w:firstLine="482" w:firstLineChars="200"/>
        <w:outlineLvl w:val="2"/>
        <w:rPr>
          <w:rFonts w:hint="eastAsia" w:ascii="宋体" w:hAnsi="宋体" w:eastAsia="宋体" w:cs="楷体"/>
          <w:b/>
          <w:color w:val="000000"/>
          <w:sz w:val="24"/>
          <w:szCs w:val="32"/>
        </w:rPr>
      </w:pPr>
      <w:bookmarkStart w:id="24" w:name="_Toc48809479"/>
      <w:r>
        <w:rPr>
          <w:rFonts w:hint="eastAsia" w:ascii="宋体" w:hAnsi="宋体" w:eastAsia="宋体" w:cs="楷体"/>
          <w:b/>
          <w:color w:val="000000"/>
          <w:sz w:val="24"/>
          <w:szCs w:val="32"/>
        </w:rPr>
        <w:t>（四）检验设备管理情况</w:t>
      </w:r>
      <w:bookmarkEnd w:id="24"/>
    </w:p>
    <w:p w14:paraId="17771FA7">
      <w:pPr>
        <w:spacing w:line="360" w:lineRule="auto"/>
        <w:ind w:firstLine="464" w:firstLineChars="200"/>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对检测器具从采购、验收、使用严格按照仪器设备管理程序执行，实验室有专人保管计量器具，建立台帐和登记手续，检测仪器的使用必须通过检定，有检定合格证方可投入使用；对在用的检测仪器设备严格按周期检定，强化现场检查和监管，掌握其使用情况，发现问题及时处理；对存在问题部门提出整改意见，采取积极有效措施进行整改，为生产、销售离合器产品奠定了坚实的的计量基础。</w:t>
      </w:r>
    </w:p>
    <w:p w14:paraId="50061412">
      <w:pPr>
        <w:spacing w:before="156" w:beforeLines="50" w:line="360" w:lineRule="auto"/>
        <w:outlineLvl w:val="1"/>
        <w:rPr>
          <w:rFonts w:hint="eastAsia" w:ascii="宋体" w:hAnsi="宋体" w:eastAsia="宋体" w:cs="楷体"/>
          <w:b/>
          <w:color w:val="000000"/>
          <w:sz w:val="28"/>
          <w:szCs w:val="36"/>
        </w:rPr>
      </w:pPr>
      <w:bookmarkStart w:id="25" w:name="_Toc48809480"/>
      <w:r>
        <w:rPr>
          <w:rFonts w:hint="eastAsia" w:ascii="宋体" w:hAnsi="宋体" w:eastAsia="宋体" w:cs="楷体"/>
          <w:b/>
          <w:color w:val="000000"/>
          <w:sz w:val="28"/>
          <w:szCs w:val="36"/>
        </w:rPr>
        <w:t>五、产品质量责任</w:t>
      </w:r>
      <w:bookmarkEnd w:id="25"/>
    </w:p>
    <w:p w14:paraId="143CDE8B">
      <w:pPr>
        <w:spacing w:line="360" w:lineRule="auto"/>
        <w:ind w:firstLine="482" w:firstLineChars="200"/>
        <w:outlineLvl w:val="2"/>
        <w:rPr>
          <w:rFonts w:hint="eastAsia" w:ascii="宋体" w:hAnsi="宋体" w:eastAsia="宋体" w:cs="楷体"/>
          <w:b/>
          <w:color w:val="000000"/>
          <w:sz w:val="24"/>
          <w:szCs w:val="32"/>
        </w:rPr>
      </w:pPr>
      <w:bookmarkStart w:id="26" w:name="_Toc48809481"/>
      <w:r>
        <w:rPr>
          <w:rFonts w:hint="eastAsia" w:ascii="宋体" w:hAnsi="宋体" w:eastAsia="宋体" w:cs="楷体"/>
          <w:b/>
          <w:color w:val="000000"/>
          <w:sz w:val="24"/>
          <w:szCs w:val="32"/>
        </w:rPr>
        <w:t>（一）产品质量水平</w:t>
      </w:r>
      <w:bookmarkEnd w:id="26"/>
    </w:p>
    <w:p w14:paraId="7E323277">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实行巡检和成品检验，制定了作业指导书，实行动态质量监控，对成品逐台进行严格的工艺控制和质量把关。对不合格品做上标识并放入不合格品区。对现场出现的问题及时分析原因，提出纠正预防改进措施，进行品质通报，确保产品符合质量标准。</w:t>
      </w:r>
    </w:p>
    <w:p w14:paraId="66C6F35E">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每个车间还设立专职质量管理人员，对本车间的成品实行质量抽查，对各个生产工位进行巡回检查，对容易出现质量问题的工位和操作工进行重点监督和指导。同时，加强对生产环境的监督，对影响产品和员工安全的因素及时改正，并要求员工做好相关安全防护措施，确保安全生产。</w:t>
      </w:r>
    </w:p>
    <w:p w14:paraId="79734BF7">
      <w:pPr>
        <w:pStyle w:val="25"/>
        <w:spacing w:line="360" w:lineRule="auto"/>
        <w:ind w:firstLine="464"/>
        <w:rPr>
          <w:rFonts w:hint="eastAsia" w:ascii="宋体" w:hAnsi="宋体"/>
          <w:spacing w:val="-4"/>
          <w:sz w:val="24"/>
          <w:szCs w:val="24"/>
        </w:rPr>
      </w:pPr>
      <w:r>
        <w:rPr>
          <w:rFonts w:hint="eastAsia" w:ascii="宋体" w:hAnsi="宋体"/>
          <w:spacing w:val="-4"/>
          <w:sz w:val="24"/>
          <w:szCs w:val="24"/>
        </w:rPr>
        <w:t>旨恒的认证产品电主轴车铣复合机床，其主要技术指标达到“国内一流、国际先进”的水平，</w:t>
      </w:r>
      <w:r>
        <w:rPr>
          <w:rFonts w:ascii="宋体" w:hAnsi="宋体"/>
          <w:spacing w:val="-4"/>
          <w:sz w:val="24"/>
          <w:szCs w:val="24"/>
        </w:rPr>
        <w:t>具体对</w:t>
      </w:r>
      <w:r>
        <w:rPr>
          <w:rFonts w:hint="eastAsia" w:ascii="宋体" w:hAnsi="宋体"/>
          <w:spacing w:val="-4"/>
          <w:sz w:val="24"/>
          <w:szCs w:val="24"/>
        </w:rPr>
        <w:t>比</w:t>
      </w:r>
      <w:r>
        <w:rPr>
          <w:rFonts w:ascii="宋体" w:hAnsi="宋体"/>
          <w:spacing w:val="-4"/>
          <w:sz w:val="24"/>
          <w:szCs w:val="24"/>
        </w:rPr>
        <w:t>情况见表</w:t>
      </w:r>
      <w:r>
        <w:rPr>
          <w:rFonts w:hint="eastAsia" w:ascii="宋体" w:hAnsi="宋体"/>
          <w:spacing w:val="-4"/>
          <w:sz w:val="24"/>
          <w:szCs w:val="24"/>
        </w:rPr>
        <w:t>4。</w:t>
      </w:r>
    </w:p>
    <w:p w14:paraId="5736355F">
      <w:pPr>
        <w:pStyle w:val="25"/>
        <w:spacing w:line="360" w:lineRule="auto"/>
        <w:ind w:firstLine="482"/>
        <w:jc w:val="center"/>
        <w:rPr>
          <w:rFonts w:hint="eastAsia" w:ascii="黑体" w:hAnsi="黑体" w:eastAsia="黑体" w:cs="宋体"/>
          <w:bCs/>
          <w:szCs w:val="21"/>
        </w:rPr>
      </w:pPr>
      <w:r>
        <w:rPr>
          <w:rFonts w:hint="eastAsia" w:ascii="宋体" w:hAnsi="宋体" w:cs="宋体"/>
          <w:b/>
          <w:bCs/>
          <w:sz w:val="24"/>
          <w:szCs w:val="24"/>
        </w:rPr>
        <w:t>表4 核心技术指标对比表</w:t>
      </w:r>
    </w:p>
    <w:tbl>
      <w:tblPr>
        <w:tblStyle w:val="13"/>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08" w:type="dxa"/>
          <w:bottom w:w="17" w:type="dxa"/>
          <w:right w:w="108" w:type="dxa"/>
        </w:tblCellMar>
      </w:tblPr>
      <w:tblGrid>
        <w:gridCol w:w="860"/>
        <w:gridCol w:w="1526"/>
        <w:gridCol w:w="2035"/>
        <w:gridCol w:w="741"/>
        <w:gridCol w:w="1971"/>
        <w:gridCol w:w="2414"/>
      </w:tblGrid>
      <w:tr w14:paraId="16B3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1550" w:hRule="atLeast"/>
          <w:tblHeader/>
          <w:jc w:val="center"/>
        </w:trPr>
        <w:tc>
          <w:tcPr>
            <w:tcW w:w="452" w:type="pct"/>
            <w:shd w:val="clear" w:color="auto" w:fill="538135"/>
            <w:vAlign w:val="center"/>
          </w:tcPr>
          <w:p w14:paraId="55AA540E">
            <w:pPr>
              <w:jc w:val="center"/>
              <w:rPr>
                <w:rFonts w:hint="eastAsia" w:ascii="宋体" w:hAnsi="宋体" w:eastAsia="宋体" w:cs="宋体"/>
                <w:b/>
                <w:bCs/>
                <w:color w:val="FFFFFF"/>
                <w:szCs w:val="21"/>
              </w:rPr>
            </w:pPr>
            <w:r>
              <w:rPr>
                <w:rFonts w:hint="eastAsia" w:ascii="宋体" w:hAnsi="宋体" w:eastAsia="宋体" w:cs="宋体"/>
                <w:b/>
                <w:bCs/>
                <w:color w:val="FFFFFF"/>
                <w:szCs w:val="21"/>
              </w:rPr>
              <w:t>产品质量特性</w:t>
            </w:r>
          </w:p>
        </w:tc>
        <w:tc>
          <w:tcPr>
            <w:tcW w:w="1868" w:type="pct"/>
            <w:gridSpan w:val="2"/>
            <w:shd w:val="clear" w:color="auto" w:fill="538135"/>
            <w:vAlign w:val="center"/>
          </w:tcPr>
          <w:p w14:paraId="02676F10">
            <w:pPr>
              <w:jc w:val="center"/>
              <w:rPr>
                <w:rFonts w:hint="eastAsia" w:ascii="宋体" w:hAnsi="宋体" w:eastAsia="宋体" w:cs="宋体"/>
                <w:b/>
                <w:bCs/>
                <w:color w:val="FFFFFF"/>
                <w:szCs w:val="21"/>
              </w:rPr>
            </w:pPr>
            <w:r>
              <w:rPr>
                <w:rFonts w:hint="eastAsia" w:ascii="宋体" w:hAnsi="宋体" w:eastAsia="宋体" w:cs="宋体"/>
                <w:b/>
                <w:bCs/>
                <w:color w:val="FFFFFF"/>
                <w:szCs w:val="21"/>
              </w:rPr>
              <w:t>核心技术指标</w:t>
            </w:r>
          </w:p>
        </w:tc>
        <w:tc>
          <w:tcPr>
            <w:tcW w:w="379" w:type="pct"/>
            <w:shd w:val="clear" w:color="auto" w:fill="538135"/>
            <w:vAlign w:val="center"/>
          </w:tcPr>
          <w:p w14:paraId="551C6159">
            <w:pPr>
              <w:jc w:val="center"/>
              <w:rPr>
                <w:rFonts w:hint="eastAsia" w:ascii="宋体" w:hAnsi="宋体" w:eastAsia="宋体" w:cs="宋体"/>
                <w:b/>
                <w:bCs/>
                <w:color w:val="FFFFFF"/>
                <w:szCs w:val="21"/>
              </w:rPr>
            </w:pPr>
            <w:r>
              <w:rPr>
                <w:rFonts w:hint="eastAsia" w:ascii="宋体" w:hAnsi="宋体" w:eastAsia="宋体" w:cs="宋体"/>
                <w:b/>
                <w:bCs/>
                <w:color w:val="FFFFFF"/>
                <w:szCs w:val="21"/>
              </w:rPr>
              <w:t>单位</w:t>
            </w:r>
          </w:p>
        </w:tc>
        <w:tc>
          <w:tcPr>
            <w:tcW w:w="1033" w:type="pct"/>
            <w:shd w:val="clear" w:color="auto" w:fill="538135"/>
            <w:vAlign w:val="center"/>
          </w:tcPr>
          <w:p w14:paraId="3CCF7770">
            <w:pPr>
              <w:jc w:val="center"/>
              <w:rPr>
                <w:rFonts w:hint="eastAsia" w:ascii="宋体" w:hAnsi="宋体" w:eastAsia="宋体" w:cs="宋体"/>
                <w:b/>
                <w:bCs/>
                <w:color w:val="FFFFFF"/>
                <w:szCs w:val="21"/>
              </w:rPr>
            </w:pPr>
            <w:r>
              <w:rPr>
                <w:rFonts w:hint="eastAsia" w:ascii="宋体" w:hAnsi="宋体" w:eastAsia="宋体" w:cs="宋体"/>
                <w:b/>
                <w:bCs/>
                <w:color w:val="FFFFFF"/>
                <w:szCs w:val="21"/>
              </w:rPr>
              <w:t>浙江旨恒机床有限公司（电主轴车铣复合机床）</w:t>
            </w:r>
          </w:p>
        </w:tc>
        <w:tc>
          <w:tcPr>
            <w:tcW w:w="1265" w:type="pct"/>
            <w:shd w:val="clear" w:color="auto" w:fill="538135"/>
            <w:vAlign w:val="center"/>
          </w:tcPr>
          <w:p w14:paraId="7E25E7F0">
            <w:pPr>
              <w:jc w:val="center"/>
              <w:rPr>
                <w:rFonts w:hint="eastAsia" w:ascii="宋体" w:hAnsi="宋体" w:eastAsia="宋体" w:cs="宋体"/>
                <w:b/>
                <w:bCs/>
                <w:color w:val="FFFFFF"/>
                <w:szCs w:val="21"/>
              </w:rPr>
            </w:pPr>
            <w:r>
              <w:rPr>
                <w:rFonts w:hint="eastAsia" w:ascii="宋体" w:hAnsi="宋体" w:eastAsia="宋体" w:cs="宋体"/>
                <w:b/>
                <w:bCs/>
                <w:color w:val="FFFFFF"/>
                <w:szCs w:val="21"/>
              </w:rPr>
              <w:t>国家标准</w:t>
            </w:r>
          </w:p>
          <w:p w14:paraId="0F3FE3BE">
            <w:pPr>
              <w:jc w:val="center"/>
              <w:rPr>
                <w:rFonts w:hint="eastAsia" w:ascii="宋体" w:hAnsi="宋体" w:eastAsia="宋体" w:cs="宋体"/>
                <w:b/>
                <w:bCs/>
                <w:color w:val="FFFFFF"/>
                <w:szCs w:val="21"/>
              </w:rPr>
            </w:pPr>
            <w:r>
              <w:rPr>
                <w:rFonts w:hint="eastAsia" w:ascii="宋体" w:hAnsi="宋体" w:eastAsia="宋体" w:cs="宋体"/>
                <w:b/>
                <w:bCs/>
                <w:color w:val="FFFFFF"/>
                <w:szCs w:val="21"/>
              </w:rPr>
              <w:t>（GB/T 16462.4-2007/</w:t>
            </w:r>
          </w:p>
          <w:p w14:paraId="2110A5C0">
            <w:pPr>
              <w:jc w:val="center"/>
              <w:rPr>
                <w:rFonts w:hint="eastAsia" w:ascii="宋体" w:hAnsi="宋体" w:eastAsia="宋体" w:cs="宋体"/>
                <w:b/>
                <w:bCs/>
                <w:color w:val="FFFFFF"/>
                <w:szCs w:val="21"/>
              </w:rPr>
            </w:pPr>
            <w:r>
              <w:rPr>
                <w:rFonts w:hint="eastAsia" w:ascii="宋体" w:hAnsi="宋体" w:eastAsia="宋体" w:cs="宋体"/>
                <w:b/>
                <w:bCs/>
                <w:color w:val="FFFFFF"/>
                <w:szCs w:val="21"/>
              </w:rPr>
              <w:t>GB/T 16462.1-2007/GB/T 9061-2006）</w:t>
            </w:r>
          </w:p>
        </w:tc>
      </w:tr>
      <w:tr w14:paraId="4530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Align w:val="center"/>
          </w:tcPr>
          <w:p w14:paraId="7D5AD517">
            <w:pPr>
              <w:pStyle w:val="11"/>
              <w:spacing w:before="0" w:beforeAutospacing="0" w:after="0" w:afterAutospacing="0"/>
              <w:jc w:val="center"/>
              <w:rPr>
                <w:rFonts w:hint="eastAsia" w:eastAsia="宋体" w:cs="宋体"/>
                <w:b/>
                <w:sz w:val="21"/>
                <w:szCs w:val="18"/>
              </w:rPr>
            </w:pPr>
            <w:r>
              <w:rPr>
                <w:rFonts w:hint="eastAsia" w:eastAsia="宋体" w:cs="宋体"/>
                <w:b/>
                <w:sz w:val="21"/>
                <w:szCs w:val="18"/>
              </w:rPr>
              <w:t>环保性</w:t>
            </w:r>
          </w:p>
        </w:tc>
        <w:tc>
          <w:tcPr>
            <w:tcW w:w="1868" w:type="pct"/>
            <w:gridSpan w:val="2"/>
            <w:vAlign w:val="center"/>
          </w:tcPr>
          <w:p w14:paraId="20ADD32F">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噪声≤</w:t>
            </w:r>
          </w:p>
        </w:tc>
        <w:tc>
          <w:tcPr>
            <w:tcW w:w="379" w:type="pct"/>
            <w:vAlign w:val="center"/>
          </w:tcPr>
          <w:p w14:paraId="478B876B">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dB（A）</w:t>
            </w:r>
          </w:p>
        </w:tc>
        <w:tc>
          <w:tcPr>
            <w:tcW w:w="1033" w:type="pct"/>
            <w:vAlign w:val="center"/>
          </w:tcPr>
          <w:p w14:paraId="4ED6E970">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69</w:t>
            </w:r>
          </w:p>
        </w:tc>
        <w:tc>
          <w:tcPr>
            <w:tcW w:w="1265" w:type="pct"/>
            <w:vAlign w:val="center"/>
          </w:tcPr>
          <w:p w14:paraId="25C6582A">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83</w:t>
            </w:r>
          </w:p>
        </w:tc>
      </w:tr>
      <w:tr w14:paraId="5BCF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Align w:val="center"/>
          </w:tcPr>
          <w:p w14:paraId="031A349A">
            <w:pPr>
              <w:pStyle w:val="11"/>
              <w:spacing w:before="0" w:beforeAutospacing="0" w:after="0" w:afterAutospacing="0"/>
              <w:jc w:val="center"/>
              <w:rPr>
                <w:rFonts w:hint="eastAsia" w:eastAsia="宋体" w:cs="宋体"/>
                <w:b/>
                <w:sz w:val="21"/>
                <w:szCs w:val="18"/>
              </w:rPr>
            </w:pPr>
            <w:r>
              <w:rPr>
                <w:rFonts w:hint="eastAsia" w:eastAsia="宋体" w:cs="宋体"/>
                <w:b/>
                <w:sz w:val="21"/>
                <w:szCs w:val="18"/>
              </w:rPr>
              <w:t>可靠性</w:t>
            </w:r>
          </w:p>
        </w:tc>
        <w:tc>
          <w:tcPr>
            <w:tcW w:w="1868" w:type="pct"/>
            <w:gridSpan w:val="2"/>
            <w:vAlign w:val="center"/>
          </w:tcPr>
          <w:p w14:paraId="1F60A641">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温度≤</w:t>
            </w:r>
          </w:p>
        </w:tc>
        <w:tc>
          <w:tcPr>
            <w:tcW w:w="379" w:type="pct"/>
            <w:vAlign w:val="center"/>
          </w:tcPr>
          <w:p w14:paraId="59D6C8D5">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w:t>
            </w:r>
          </w:p>
        </w:tc>
        <w:tc>
          <w:tcPr>
            <w:tcW w:w="1033" w:type="pct"/>
            <w:vAlign w:val="center"/>
          </w:tcPr>
          <w:p w14:paraId="1FE36D38">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59</w:t>
            </w:r>
          </w:p>
        </w:tc>
        <w:tc>
          <w:tcPr>
            <w:tcW w:w="1265" w:type="pct"/>
            <w:vAlign w:val="center"/>
          </w:tcPr>
          <w:p w14:paraId="72E1CF03">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70</w:t>
            </w:r>
          </w:p>
        </w:tc>
      </w:tr>
      <w:tr w14:paraId="5783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restart"/>
            <w:vAlign w:val="center"/>
          </w:tcPr>
          <w:p w14:paraId="481A1DC5">
            <w:pPr>
              <w:widowControl/>
              <w:jc w:val="center"/>
              <w:rPr>
                <w:rFonts w:hint="eastAsia" w:ascii="宋体" w:hAnsi="宋体" w:eastAsia="宋体" w:cs="宋体"/>
                <w:b/>
                <w:kern w:val="0"/>
                <w:szCs w:val="18"/>
              </w:rPr>
            </w:pPr>
            <w:r>
              <w:rPr>
                <w:rFonts w:hint="eastAsia" w:ascii="宋体" w:hAnsi="宋体" w:cs="宋体"/>
                <w:b/>
                <w:kern w:val="0"/>
                <w:szCs w:val="18"/>
              </w:rPr>
              <w:t>精确性</w:t>
            </w:r>
          </w:p>
        </w:tc>
        <w:tc>
          <w:tcPr>
            <w:tcW w:w="801" w:type="pct"/>
            <w:vMerge w:val="restart"/>
            <w:vAlign w:val="center"/>
          </w:tcPr>
          <w:p w14:paraId="2CF4E14A">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双向定位精度A≤</w:t>
            </w:r>
          </w:p>
        </w:tc>
        <w:tc>
          <w:tcPr>
            <w:tcW w:w="1067" w:type="pct"/>
            <w:vAlign w:val="center"/>
          </w:tcPr>
          <w:p w14:paraId="49739BBD">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X</w:t>
            </w:r>
          </w:p>
        </w:tc>
        <w:tc>
          <w:tcPr>
            <w:tcW w:w="379" w:type="pct"/>
            <w:vMerge w:val="restart"/>
            <w:vAlign w:val="center"/>
          </w:tcPr>
          <w:p w14:paraId="732A82EA">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mm</w:t>
            </w:r>
          </w:p>
        </w:tc>
        <w:tc>
          <w:tcPr>
            <w:tcW w:w="1033" w:type="pct"/>
            <w:vAlign w:val="center"/>
          </w:tcPr>
          <w:p w14:paraId="40ED425E">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0.017</w:t>
            </w:r>
          </w:p>
        </w:tc>
        <w:tc>
          <w:tcPr>
            <w:tcW w:w="1265" w:type="pct"/>
            <w:vAlign w:val="center"/>
          </w:tcPr>
          <w:p w14:paraId="6917F79F">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0.022</w:t>
            </w:r>
          </w:p>
        </w:tc>
      </w:tr>
      <w:tr w14:paraId="0EC7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6C2D559E">
            <w:pPr>
              <w:widowControl/>
              <w:jc w:val="center"/>
              <w:rPr>
                <w:rFonts w:hint="eastAsia" w:ascii="宋体" w:hAnsi="宋体" w:cs="宋体"/>
                <w:b/>
                <w:kern w:val="0"/>
                <w:szCs w:val="21"/>
              </w:rPr>
            </w:pPr>
          </w:p>
        </w:tc>
        <w:tc>
          <w:tcPr>
            <w:tcW w:w="801" w:type="pct"/>
            <w:vMerge w:val="continue"/>
            <w:vAlign w:val="center"/>
          </w:tcPr>
          <w:p w14:paraId="223A7A72">
            <w:pPr>
              <w:jc w:val="center"/>
              <w:rPr>
                <w:rFonts w:hint="eastAsia" w:ascii="宋体" w:hAnsi="宋体" w:eastAsia="宋体" w:cs="宋体"/>
                <w:szCs w:val="21"/>
              </w:rPr>
            </w:pPr>
          </w:p>
        </w:tc>
        <w:tc>
          <w:tcPr>
            <w:tcW w:w="1067" w:type="pct"/>
            <w:vAlign w:val="center"/>
          </w:tcPr>
          <w:p w14:paraId="38783E8E">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Z</w:t>
            </w:r>
          </w:p>
        </w:tc>
        <w:tc>
          <w:tcPr>
            <w:tcW w:w="379" w:type="pct"/>
            <w:vMerge w:val="continue"/>
            <w:vAlign w:val="center"/>
          </w:tcPr>
          <w:p w14:paraId="7804B0F0">
            <w:pPr>
              <w:jc w:val="center"/>
              <w:rPr>
                <w:rFonts w:hint="eastAsia" w:ascii="宋体" w:hAnsi="宋体" w:eastAsia="宋体" w:cs="宋体"/>
                <w:szCs w:val="21"/>
              </w:rPr>
            </w:pPr>
          </w:p>
        </w:tc>
        <w:tc>
          <w:tcPr>
            <w:tcW w:w="1033" w:type="pct"/>
            <w:vAlign w:val="center"/>
          </w:tcPr>
          <w:p w14:paraId="6704E1D8">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0.016</w:t>
            </w:r>
          </w:p>
        </w:tc>
        <w:tc>
          <w:tcPr>
            <w:tcW w:w="1265" w:type="pct"/>
            <w:vAlign w:val="center"/>
          </w:tcPr>
          <w:p w14:paraId="415902A5">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0.022</w:t>
            </w:r>
          </w:p>
        </w:tc>
      </w:tr>
      <w:tr w14:paraId="73AE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0FAF1B71">
            <w:pPr>
              <w:widowControl/>
              <w:jc w:val="center"/>
              <w:rPr>
                <w:rFonts w:hint="eastAsia" w:ascii="宋体" w:hAnsi="宋体" w:cs="宋体"/>
                <w:b/>
                <w:kern w:val="0"/>
                <w:szCs w:val="18"/>
              </w:rPr>
            </w:pPr>
          </w:p>
        </w:tc>
        <w:tc>
          <w:tcPr>
            <w:tcW w:w="801" w:type="pct"/>
            <w:vMerge w:val="restart"/>
            <w:vAlign w:val="center"/>
          </w:tcPr>
          <w:p w14:paraId="4BBC823C">
            <w:pPr>
              <w:pStyle w:val="11"/>
              <w:spacing w:before="0" w:beforeAutospacing="0" w:after="0" w:afterAutospacing="0"/>
              <w:jc w:val="center"/>
              <w:rPr>
                <w:rFonts w:hint="eastAsia" w:eastAsia="宋体" w:cs="宋体"/>
                <w:sz w:val="21"/>
                <w:szCs w:val="21"/>
              </w:rPr>
            </w:pPr>
            <w:r>
              <w:rPr>
                <w:rFonts w:hint="eastAsia" w:eastAsia="宋体" w:cs="宋体"/>
                <w:color w:val="000000"/>
                <w:sz w:val="21"/>
                <w:szCs w:val="21"/>
              </w:rPr>
              <w:t>重复定位精度</w:t>
            </w:r>
          </w:p>
          <w:p w14:paraId="19DD1CE1">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（正向）R↑R↓≤</w:t>
            </w:r>
          </w:p>
        </w:tc>
        <w:tc>
          <w:tcPr>
            <w:tcW w:w="1067" w:type="pct"/>
            <w:vAlign w:val="center"/>
          </w:tcPr>
          <w:p w14:paraId="52A9987D">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X</w:t>
            </w:r>
          </w:p>
        </w:tc>
        <w:tc>
          <w:tcPr>
            <w:tcW w:w="379" w:type="pct"/>
            <w:vMerge w:val="restart"/>
            <w:vAlign w:val="center"/>
          </w:tcPr>
          <w:p w14:paraId="4F4BC874">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mm</w:t>
            </w:r>
          </w:p>
        </w:tc>
        <w:tc>
          <w:tcPr>
            <w:tcW w:w="1033" w:type="pct"/>
            <w:vAlign w:val="center"/>
          </w:tcPr>
          <w:p w14:paraId="2955EA33">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0.004</w:t>
            </w:r>
          </w:p>
        </w:tc>
        <w:tc>
          <w:tcPr>
            <w:tcW w:w="1265" w:type="pct"/>
            <w:vAlign w:val="center"/>
          </w:tcPr>
          <w:p w14:paraId="60067B1F">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0.006</w:t>
            </w:r>
          </w:p>
        </w:tc>
      </w:tr>
      <w:tr w14:paraId="76BF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7C95C854">
            <w:pPr>
              <w:widowControl/>
              <w:jc w:val="center"/>
              <w:rPr>
                <w:rFonts w:hint="eastAsia" w:ascii="宋体" w:hAnsi="宋体" w:cs="宋体"/>
                <w:b/>
                <w:kern w:val="0"/>
                <w:szCs w:val="18"/>
              </w:rPr>
            </w:pPr>
          </w:p>
        </w:tc>
        <w:tc>
          <w:tcPr>
            <w:tcW w:w="801" w:type="pct"/>
            <w:vMerge w:val="continue"/>
            <w:vAlign w:val="center"/>
          </w:tcPr>
          <w:p w14:paraId="19333F52">
            <w:pPr>
              <w:jc w:val="center"/>
              <w:rPr>
                <w:rFonts w:hint="eastAsia" w:ascii="宋体" w:hAnsi="宋体" w:eastAsia="宋体" w:cs="宋体"/>
                <w:szCs w:val="21"/>
              </w:rPr>
            </w:pPr>
          </w:p>
        </w:tc>
        <w:tc>
          <w:tcPr>
            <w:tcW w:w="1067" w:type="pct"/>
            <w:vAlign w:val="center"/>
          </w:tcPr>
          <w:p w14:paraId="5E10E98E">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Z</w:t>
            </w:r>
          </w:p>
        </w:tc>
        <w:tc>
          <w:tcPr>
            <w:tcW w:w="379" w:type="pct"/>
            <w:vMerge w:val="continue"/>
            <w:vAlign w:val="center"/>
          </w:tcPr>
          <w:p w14:paraId="49DCD257">
            <w:pPr>
              <w:jc w:val="center"/>
              <w:rPr>
                <w:rFonts w:hint="eastAsia" w:ascii="宋体" w:hAnsi="宋体" w:eastAsia="宋体" w:cs="宋体"/>
                <w:szCs w:val="21"/>
              </w:rPr>
            </w:pPr>
          </w:p>
        </w:tc>
        <w:tc>
          <w:tcPr>
            <w:tcW w:w="1033" w:type="pct"/>
            <w:vAlign w:val="center"/>
          </w:tcPr>
          <w:p w14:paraId="377E20B5">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0.004</w:t>
            </w:r>
          </w:p>
        </w:tc>
        <w:tc>
          <w:tcPr>
            <w:tcW w:w="1265" w:type="pct"/>
            <w:vAlign w:val="center"/>
          </w:tcPr>
          <w:p w14:paraId="7CB99611">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0.006</w:t>
            </w:r>
          </w:p>
        </w:tc>
      </w:tr>
      <w:tr w14:paraId="10A1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1B6DEC6F">
            <w:pPr>
              <w:widowControl/>
              <w:jc w:val="center"/>
              <w:rPr>
                <w:rFonts w:hint="eastAsia" w:ascii="宋体" w:hAnsi="宋体" w:cs="宋体"/>
                <w:b/>
                <w:kern w:val="0"/>
                <w:szCs w:val="18"/>
              </w:rPr>
            </w:pPr>
          </w:p>
        </w:tc>
        <w:tc>
          <w:tcPr>
            <w:tcW w:w="801" w:type="pct"/>
            <w:vMerge w:val="restart"/>
            <w:vAlign w:val="center"/>
          </w:tcPr>
          <w:p w14:paraId="631421FC">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轴线的反向差值≤</w:t>
            </w:r>
          </w:p>
        </w:tc>
        <w:tc>
          <w:tcPr>
            <w:tcW w:w="1067" w:type="pct"/>
            <w:vAlign w:val="center"/>
          </w:tcPr>
          <w:p w14:paraId="16689B37">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X</w:t>
            </w:r>
          </w:p>
        </w:tc>
        <w:tc>
          <w:tcPr>
            <w:tcW w:w="379" w:type="pct"/>
            <w:vMerge w:val="restart"/>
            <w:vAlign w:val="center"/>
          </w:tcPr>
          <w:p w14:paraId="46173837">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mm</w:t>
            </w:r>
          </w:p>
        </w:tc>
        <w:tc>
          <w:tcPr>
            <w:tcW w:w="1033" w:type="pct"/>
            <w:vAlign w:val="center"/>
          </w:tcPr>
          <w:p w14:paraId="03D46868">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0.006</w:t>
            </w:r>
          </w:p>
        </w:tc>
        <w:tc>
          <w:tcPr>
            <w:tcW w:w="1265" w:type="pct"/>
            <w:vAlign w:val="center"/>
          </w:tcPr>
          <w:p w14:paraId="06B609C5">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0.010</w:t>
            </w:r>
          </w:p>
        </w:tc>
      </w:tr>
      <w:tr w14:paraId="3EC6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1C4276A1">
            <w:pPr>
              <w:widowControl/>
              <w:jc w:val="center"/>
              <w:rPr>
                <w:rFonts w:hint="eastAsia" w:ascii="宋体" w:hAnsi="宋体" w:cs="宋体"/>
                <w:b/>
                <w:kern w:val="0"/>
                <w:szCs w:val="18"/>
              </w:rPr>
            </w:pPr>
          </w:p>
        </w:tc>
        <w:tc>
          <w:tcPr>
            <w:tcW w:w="801" w:type="pct"/>
            <w:vMerge w:val="continue"/>
            <w:vAlign w:val="center"/>
          </w:tcPr>
          <w:p w14:paraId="3CCDCD9D">
            <w:pPr>
              <w:jc w:val="center"/>
              <w:rPr>
                <w:rFonts w:hint="eastAsia" w:ascii="宋体" w:hAnsi="宋体" w:eastAsia="宋体" w:cs="宋体"/>
                <w:szCs w:val="21"/>
              </w:rPr>
            </w:pPr>
          </w:p>
        </w:tc>
        <w:tc>
          <w:tcPr>
            <w:tcW w:w="1067" w:type="pct"/>
            <w:vAlign w:val="center"/>
          </w:tcPr>
          <w:p w14:paraId="3E55D2AE">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Z</w:t>
            </w:r>
          </w:p>
        </w:tc>
        <w:tc>
          <w:tcPr>
            <w:tcW w:w="379" w:type="pct"/>
            <w:vMerge w:val="continue"/>
            <w:vAlign w:val="center"/>
          </w:tcPr>
          <w:p w14:paraId="7D804475">
            <w:pPr>
              <w:jc w:val="center"/>
              <w:rPr>
                <w:rFonts w:hint="eastAsia" w:ascii="宋体" w:hAnsi="宋体" w:eastAsia="宋体" w:cs="宋体"/>
                <w:szCs w:val="21"/>
              </w:rPr>
            </w:pPr>
          </w:p>
        </w:tc>
        <w:tc>
          <w:tcPr>
            <w:tcW w:w="1033" w:type="pct"/>
            <w:vAlign w:val="center"/>
          </w:tcPr>
          <w:p w14:paraId="3CCF483F">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0.006</w:t>
            </w:r>
          </w:p>
        </w:tc>
        <w:tc>
          <w:tcPr>
            <w:tcW w:w="1265" w:type="pct"/>
            <w:vAlign w:val="center"/>
          </w:tcPr>
          <w:p w14:paraId="77136995">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0.010</w:t>
            </w:r>
          </w:p>
        </w:tc>
      </w:tr>
      <w:tr w14:paraId="0677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5D047C40">
            <w:pPr>
              <w:widowControl/>
              <w:jc w:val="center"/>
              <w:rPr>
                <w:rFonts w:hint="eastAsia" w:ascii="宋体" w:hAnsi="宋体" w:cs="宋体"/>
                <w:b/>
                <w:kern w:val="0"/>
                <w:szCs w:val="21"/>
              </w:rPr>
            </w:pPr>
          </w:p>
        </w:tc>
        <w:tc>
          <w:tcPr>
            <w:tcW w:w="801" w:type="pct"/>
            <w:vMerge w:val="restart"/>
            <w:vAlign w:val="center"/>
          </w:tcPr>
          <w:p w14:paraId="101F9080">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主轴端部≤</w:t>
            </w:r>
          </w:p>
        </w:tc>
        <w:tc>
          <w:tcPr>
            <w:tcW w:w="1067" w:type="pct"/>
            <w:vAlign w:val="center"/>
          </w:tcPr>
          <w:p w14:paraId="25F72B89">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定心轴径的颈向跳动</w:t>
            </w:r>
          </w:p>
        </w:tc>
        <w:tc>
          <w:tcPr>
            <w:tcW w:w="379" w:type="pct"/>
            <w:vMerge w:val="restart"/>
            <w:vAlign w:val="center"/>
          </w:tcPr>
          <w:p w14:paraId="164DE09E">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mm</w:t>
            </w:r>
          </w:p>
        </w:tc>
        <w:tc>
          <w:tcPr>
            <w:tcW w:w="1033" w:type="pct"/>
            <w:vAlign w:val="center"/>
          </w:tcPr>
          <w:p w14:paraId="44AEC991">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0.004</w:t>
            </w:r>
          </w:p>
        </w:tc>
        <w:tc>
          <w:tcPr>
            <w:tcW w:w="1265" w:type="pct"/>
            <w:vAlign w:val="center"/>
          </w:tcPr>
          <w:p w14:paraId="0077940D">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0.008</w:t>
            </w:r>
          </w:p>
        </w:tc>
      </w:tr>
      <w:tr w14:paraId="0EBE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2B7A5780">
            <w:pPr>
              <w:widowControl/>
              <w:jc w:val="center"/>
              <w:rPr>
                <w:rFonts w:hint="eastAsia" w:ascii="宋体" w:hAnsi="宋体" w:cs="宋体"/>
                <w:b/>
                <w:kern w:val="0"/>
                <w:szCs w:val="21"/>
              </w:rPr>
            </w:pPr>
          </w:p>
        </w:tc>
        <w:tc>
          <w:tcPr>
            <w:tcW w:w="801" w:type="pct"/>
            <w:vMerge w:val="continue"/>
            <w:vAlign w:val="center"/>
          </w:tcPr>
          <w:p w14:paraId="0F7B87E0">
            <w:pPr>
              <w:jc w:val="center"/>
              <w:rPr>
                <w:rFonts w:hint="eastAsia" w:ascii="宋体" w:hAnsi="宋体" w:eastAsia="宋体" w:cs="宋体"/>
                <w:szCs w:val="21"/>
              </w:rPr>
            </w:pPr>
          </w:p>
        </w:tc>
        <w:tc>
          <w:tcPr>
            <w:tcW w:w="1067" w:type="pct"/>
            <w:vAlign w:val="center"/>
          </w:tcPr>
          <w:p w14:paraId="111863AC">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周期性轴向窜动</w:t>
            </w:r>
          </w:p>
        </w:tc>
        <w:tc>
          <w:tcPr>
            <w:tcW w:w="379" w:type="pct"/>
            <w:vMerge w:val="continue"/>
            <w:vAlign w:val="center"/>
          </w:tcPr>
          <w:p w14:paraId="6FB47DA8">
            <w:pPr>
              <w:jc w:val="center"/>
              <w:rPr>
                <w:rFonts w:hint="eastAsia" w:ascii="宋体" w:hAnsi="宋体" w:eastAsia="宋体" w:cs="宋体"/>
                <w:szCs w:val="21"/>
              </w:rPr>
            </w:pPr>
          </w:p>
        </w:tc>
        <w:tc>
          <w:tcPr>
            <w:tcW w:w="1033" w:type="pct"/>
            <w:vAlign w:val="center"/>
          </w:tcPr>
          <w:p w14:paraId="7A45991D">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0.003</w:t>
            </w:r>
          </w:p>
        </w:tc>
        <w:tc>
          <w:tcPr>
            <w:tcW w:w="1265" w:type="pct"/>
            <w:vAlign w:val="center"/>
          </w:tcPr>
          <w:p w14:paraId="5B0FF887">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0.005</w:t>
            </w:r>
          </w:p>
        </w:tc>
      </w:tr>
      <w:tr w14:paraId="1AF3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307C2F65">
            <w:pPr>
              <w:widowControl/>
              <w:jc w:val="center"/>
              <w:rPr>
                <w:rFonts w:hint="eastAsia" w:ascii="宋体" w:hAnsi="宋体" w:cs="宋体"/>
                <w:b/>
                <w:kern w:val="0"/>
                <w:szCs w:val="21"/>
              </w:rPr>
            </w:pPr>
          </w:p>
        </w:tc>
        <w:tc>
          <w:tcPr>
            <w:tcW w:w="801" w:type="pct"/>
            <w:vMerge w:val="continue"/>
            <w:vAlign w:val="center"/>
          </w:tcPr>
          <w:p w14:paraId="27330F62">
            <w:pPr>
              <w:jc w:val="center"/>
              <w:rPr>
                <w:rFonts w:hint="eastAsia" w:ascii="宋体" w:hAnsi="宋体" w:eastAsia="宋体" w:cs="宋体"/>
                <w:szCs w:val="21"/>
              </w:rPr>
            </w:pPr>
          </w:p>
        </w:tc>
        <w:tc>
          <w:tcPr>
            <w:tcW w:w="1067" w:type="pct"/>
            <w:vAlign w:val="center"/>
          </w:tcPr>
          <w:p w14:paraId="6CE1E656">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主轴端面跳动</w:t>
            </w:r>
          </w:p>
        </w:tc>
        <w:tc>
          <w:tcPr>
            <w:tcW w:w="379" w:type="pct"/>
            <w:vMerge w:val="continue"/>
            <w:vAlign w:val="center"/>
          </w:tcPr>
          <w:p w14:paraId="314E52E0">
            <w:pPr>
              <w:jc w:val="center"/>
              <w:rPr>
                <w:rFonts w:hint="eastAsia" w:ascii="宋体" w:hAnsi="宋体" w:eastAsia="宋体" w:cs="宋体"/>
                <w:szCs w:val="21"/>
              </w:rPr>
            </w:pPr>
          </w:p>
        </w:tc>
        <w:tc>
          <w:tcPr>
            <w:tcW w:w="1033" w:type="pct"/>
            <w:vAlign w:val="center"/>
          </w:tcPr>
          <w:p w14:paraId="24CE28EE">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0.004</w:t>
            </w:r>
          </w:p>
        </w:tc>
        <w:tc>
          <w:tcPr>
            <w:tcW w:w="1265" w:type="pct"/>
            <w:vAlign w:val="center"/>
          </w:tcPr>
          <w:p w14:paraId="1404E5DD">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0.010</w:t>
            </w:r>
          </w:p>
        </w:tc>
      </w:tr>
      <w:tr w14:paraId="15D8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7B38DC6B">
            <w:pPr>
              <w:widowControl/>
              <w:jc w:val="center"/>
              <w:rPr>
                <w:rFonts w:hint="eastAsia" w:ascii="宋体" w:hAnsi="宋体" w:cs="宋体"/>
                <w:b/>
                <w:kern w:val="0"/>
                <w:szCs w:val="21"/>
              </w:rPr>
            </w:pPr>
          </w:p>
        </w:tc>
        <w:tc>
          <w:tcPr>
            <w:tcW w:w="801" w:type="pct"/>
            <w:vMerge w:val="restart"/>
            <w:vAlign w:val="center"/>
          </w:tcPr>
          <w:p w14:paraId="4F6CE916">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主轴孔的径向跳动（测头直接触及）≤</w:t>
            </w:r>
          </w:p>
        </w:tc>
        <w:tc>
          <w:tcPr>
            <w:tcW w:w="1067" w:type="pct"/>
            <w:vAlign w:val="center"/>
          </w:tcPr>
          <w:p w14:paraId="2036C058">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前锥孔面</w:t>
            </w:r>
          </w:p>
        </w:tc>
        <w:tc>
          <w:tcPr>
            <w:tcW w:w="379" w:type="pct"/>
            <w:vMerge w:val="restart"/>
            <w:vAlign w:val="center"/>
          </w:tcPr>
          <w:p w14:paraId="6F7DB127">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mm</w:t>
            </w:r>
          </w:p>
        </w:tc>
        <w:tc>
          <w:tcPr>
            <w:tcW w:w="1033" w:type="pct"/>
            <w:vAlign w:val="center"/>
          </w:tcPr>
          <w:p w14:paraId="4402266B">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0.006</w:t>
            </w:r>
          </w:p>
        </w:tc>
        <w:tc>
          <w:tcPr>
            <w:tcW w:w="1265" w:type="pct"/>
            <w:vAlign w:val="center"/>
          </w:tcPr>
          <w:p w14:paraId="2188BD73">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0.008</w:t>
            </w:r>
          </w:p>
        </w:tc>
      </w:tr>
      <w:tr w14:paraId="0112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3529FB30">
            <w:pPr>
              <w:widowControl/>
              <w:jc w:val="center"/>
              <w:rPr>
                <w:rFonts w:hint="eastAsia" w:ascii="宋体" w:hAnsi="宋体" w:cs="宋体"/>
                <w:b/>
                <w:kern w:val="0"/>
                <w:szCs w:val="21"/>
              </w:rPr>
            </w:pPr>
          </w:p>
        </w:tc>
        <w:tc>
          <w:tcPr>
            <w:tcW w:w="801" w:type="pct"/>
            <w:vMerge w:val="continue"/>
            <w:vAlign w:val="center"/>
          </w:tcPr>
          <w:p w14:paraId="269621A1">
            <w:pPr>
              <w:jc w:val="center"/>
              <w:rPr>
                <w:rFonts w:hint="eastAsia" w:ascii="宋体" w:hAnsi="宋体" w:eastAsia="宋体" w:cs="宋体"/>
                <w:szCs w:val="21"/>
              </w:rPr>
            </w:pPr>
          </w:p>
        </w:tc>
        <w:tc>
          <w:tcPr>
            <w:tcW w:w="1067" w:type="pct"/>
            <w:vAlign w:val="center"/>
          </w:tcPr>
          <w:p w14:paraId="6894D203">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后定位面</w:t>
            </w:r>
          </w:p>
        </w:tc>
        <w:tc>
          <w:tcPr>
            <w:tcW w:w="379" w:type="pct"/>
            <w:vMerge w:val="continue"/>
            <w:vAlign w:val="center"/>
          </w:tcPr>
          <w:p w14:paraId="3049A398">
            <w:pPr>
              <w:jc w:val="center"/>
              <w:rPr>
                <w:rFonts w:hint="eastAsia" w:ascii="宋体" w:hAnsi="宋体" w:eastAsia="宋体" w:cs="宋体"/>
                <w:szCs w:val="21"/>
              </w:rPr>
            </w:pPr>
          </w:p>
        </w:tc>
        <w:tc>
          <w:tcPr>
            <w:tcW w:w="1033" w:type="pct"/>
            <w:vAlign w:val="center"/>
          </w:tcPr>
          <w:p w14:paraId="1415C448">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0.006</w:t>
            </w:r>
          </w:p>
        </w:tc>
        <w:tc>
          <w:tcPr>
            <w:tcW w:w="1265" w:type="pct"/>
            <w:vAlign w:val="center"/>
          </w:tcPr>
          <w:p w14:paraId="2217AB44">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0.008</w:t>
            </w:r>
          </w:p>
        </w:tc>
      </w:tr>
      <w:tr w14:paraId="4EA9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2D10765D">
            <w:pPr>
              <w:widowControl/>
              <w:jc w:val="center"/>
              <w:rPr>
                <w:rFonts w:hint="eastAsia" w:ascii="宋体" w:hAnsi="宋体" w:cs="宋体"/>
                <w:b/>
                <w:kern w:val="0"/>
                <w:szCs w:val="21"/>
              </w:rPr>
            </w:pPr>
          </w:p>
        </w:tc>
        <w:tc>
          <w:tcPr>
            <w:tcW w:w="801" w:type="pct"/>
            <w:vMerge w:val="restart"/>
            <w:vAlign w:val="center"/>
          </w:tcPr>
          <w:p w14:paraId="6B99A287">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主轴孔的径向跳动（使用检验棒检验）≤</w:t>
            </w:r>
          </w:p>
        </w:tc>
        <w:tc>
          <w:tcPr>
            <w:tcW w:w="1067" w:type="pct"/>
            <w:vAlign w:val="center"/>
          </w:tcPr>
          <w:p w14:paraId="7FFD0B17">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靠近主轴端面</w:t>
            </w:r>
          </w:p>
        </w:tc>
        <w:tc>
          <w:tcPr>
            <w:tcW w:w="379" w:type="pct"/>
            <w:vMerge w:val="restart"/>
            <w:vAlign w:val="center"/>
          </w:tcPr>
          <w:p w14:paraId="299F651F">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mm</w:t>
            </w:r>
          </w:p>
        </w:tc>
        <w:tc>
          <w:tcPr>
            <w:tcW w:w="1033" w:type="pct"/>
            <w:vAlign w:val="center"/>
          </w:tcPr>
          <w:p w14:paraId="62F7222A">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0.003</w:t>
            </w:r>
          </w:p>
        </w:tc>
        <w:tc>
          <w:tcPr>
            <w:tcW w:w="1265" w:type="pct"/>
            <w:vAlign w:val="center"/>
          </w:tcPr>
          <w:p w14:paraId="3DE67F2C">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0.015</w:t>
            </w:r>
          </w:p>
        </w:tc>
      </w:tr>
      <w:tr w14:paraId="2651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5A913664">
            <w:pPr>
              <w:widowControl/>
              <w:jc w:val="center"/>
              <w:rPr>
                <w:rFonts w:hint="eastAsia" w:ascii="宋体" w:hAnsi="宋体" w:cs="宋体"/>
                <w:b/>
                <w:kern w:val="0"/>
                <w:szCs w:val="21"/>
              </w:rPr>
            </w:pPr>
          </w:p>
        </w:tc>
        <w:tc>
          <w:tcPr>
            <w:tcW w:w="801" w:type="pct"/>
            <w:vMerge w:val="continue"/>
            <w:vAlign w:val="center"/>
          </w:tcPr>
          <w:p w14:paraId="0FE08F4B">
            <w:pPr>
              <w:jc w:val="center"/>
              <w:rPr>
                <w:rFonts w:hint="eastAsia" w:ascii="宋体" w:hAnsi="宋体" w:eastAsia="宋体" w:cs="宋体"/>
                <w:szCs w:val="21"/>
              </w:rPr>
            </w:pPr>
          </w:p>
        </w:tc>
        <w:tc>
          <w:tcPr>
            <w:tcW w:w="1067" w:type="pct"/>
            <w:vAlign w:val="center"/>
          </w:tcPr>
          <w:p w14:paraId="34E5F87A">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距主轴端面300mm处</w:t>
            </w:r>
          </w:p>
        </w:tc>
        <w:tc>
          <w:tcPr>
            <w:tcW w:w="379" w:type="pct"/>
            <w:vMerge w:val="continue"/>
            <w:vAlign w:val="center"/>
          </w:tcPr>
          <w:p w14:paraId="757A3E0D">
            <w:pPr>
              <w:jc w:val="center"/>
              <w:rPr>
                <w:rFonts w:hint="eastAsia" w:ascii="宋体" w:hAnsi="宋体" w:eastAsia="宋体" w:cs="宋体"/>
                <w:szCs w:val="21"/>
              </w:rPr>
            </w:pPr>
          </w:p>
        </w:tc>
        <w:tc>
          <w:tcPr>
            <w:tcW w:w="1033" w:type="pct"/>
            <w:vAlign w:val="center"/>
          </w:tcPr>
          <w:p w14:paraId="6DAB81D7">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0.008</w:t>
            </w:r>
          </w:p>
        </w:tc>
        <w:tc>
          <w:tcPr>
            <w:tcW w:w="1265" w:type="pct"/>
            <w:vAlign w:val="center"/>
          </w:tcPr>
          <w:p w14:paraId="67A0FE87">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0.020</w:t>
            </w:r>
          </w:p>
        </w:tc>
      </w:tr>
      <w:tr w14:paraId="5A89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1D5FBC03">
            <w:pPr>
              <w:widowControl/>
              <w:jc w:val="center"/>
              <w:rPr>
                <w:rFonts w:hint="eastAsia" w:ascii="宋体" w:hAnsi="宋体" w:cs="宋体"/>
                <w:b/>
                <w:kern w:val="0"/>
                <w:szCs w:val="21"/>
              </w:rPr>
            </w:pPr>
          </w:p>
        </w:tc>
        <w:tc>
          <w:tcPr>
            <w:tcW w:w="801" w:type="pct"/>
            <w:vMerge w:val="restart"/>
            <w:vAlign w:val="center"/>
          </w:tcPr>
          <w:p w14:paraId="7CBC8A64">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Z轴运动对主轴轴线的平行度≤</w:t>
            </w:r>
          </w:p>
        </w:tc>
        <w:tc>
          <w:tcPr>
            <w:tcW w:w="1067" w:type="pct"/>
            <w:vAlign w:val="center"/>
          </w:tcPr>
          <w:p w14:paraId="68160D38">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在ZX平面内</w:t>
            </w:r>
          </w:p>
        </w:tc>
        <w:tc>
          <w:tcPr>
            <w:tcW w:w="379" w:type="pct"/>
            <w:vMerge w:val="restart"/>
            <w:vAlign w:val="center"/>
          </w:tcPr>
          <w:p w14:paraId="310616F4">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mm</w:t>
            </w:r>
          </w:p>
        </w:tc>
        <w:tc>
          <w:tcPr>
            <w:tcW w:w="1033" w:type="pct"/>
            <w:vAlign w:val="center"/>
          </w:tcPr>
          <w:p w14:paraId="51AB60E9">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0.006</w:t>
            </w:r>
          </w:p>
        </w:tc>
        <w:tc>
          <w:tcPr>
            <w:tcW w:w="1265" w:type="pct"/>
            <w:vAlign w:val="center"/>
          </w:tcPr>
          <w:p w14:paraId="36B1B56B">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0.015</w:t>
            </w:r>
          </w:p>
        </w:tc>
      </w:tr>
      <w:tr w14:paraId="7C38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6C6BB985">
            <w:pPr>
              <w:widowControl/>
              <w:jc w:val="center"/>
              <w:rPr>
                <w:rFonts w:hint="eastAsia" w:ascii="宋体" w:hAnsi="宋体" w:cs="宋体"/>
                <w:b/>
                <w:kern w:val="0"/>
                <w:szCs w:val="21"/>
              </w:rPr>
            </w:pPr>
          </w:p>
        </w:tc>
        <w:tc>
          <w:tcPr>
            <w:tcW w:w="801" w:type="pct"/>
            <w:vMerge w:val="continue"/>
            <w:vAlign w:val="center"/>
          </w:tcPr>
          <w:p w14:paraId="7BB91FD8">
            <w:pPr>
              <w:jc w:val="center"/>
              <w:rPr>
                <w:rFonts w:hint="eastAsia" w:ascii="宋体" w:hAnsi="宋体" w:eastAsia="宋体" w:cs="宋体"/>
                <w:szCs w:val="21"/>
              </w:rPr>
            </w:pPr>
          </w:p>
        </w:tc>
        <w:tc>
          <w:tcPr>
            <w:tcW w:w="1067" w:type="pct"/>
            <w:vAlign w:val="center"/>
          </w:tcPr>
          <w:p w14:paraId="08079D7B">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在YZ平面内</w:t>
            </w:r>
          </w:p>
        </w:tc>
        <w:tc>
          <w:tcPr>
            <w:tcW w:w="379" w:type="pct"/>
            <w:vMerge w:val="continue"/>
            <w:vAlign w:val="center"/>
          </w:tcPr>
          <w:p w14:paraId="27311C7A">
            <w:pPr>
              <w:jc w:val="center"/>
              <w:rPr>
                <w:rFonts w:hint="eastAsia" w:ascii="宋体" w:hAnsi="宋体" w:eastAsia="宋体" w:cs="宋体"/>
                <w:szCs w:val="21"/>
              </w:rPr>
            </w:pPr>
          </w:p>
        </w:tc>
        <w:tc>
          <w:tcPr>
            <w:tcW w:w="1033" w:type="pct"/>
            <w:vAlign w:val="center"/>
          </w:tcPr>
          <w:p w14:paraId="221E2EEB">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0.009</w:t>
            </w:r>
          </w:p>
        </w:tc>
        <w:tc>
          <w:tcPr>
            <w:tcW w:w="1265" w:type="pct"/>
            <w:vAlign w:val="center"/>
          </w:tcPr>
          <w:p w14:paraId="7AFAA27E">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0.020</w:t>
            </w:r>
          </w:p>
        </w:tc>
      </w:tr>
      <w:tr w14:paraId="5034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54" w:hRule="atLeast"/>
          <w:jc w:val="center"/>
        </w:trPr>
        <w:tc>
          <w:tcPr>
            <w:tcW w:w="452" w:type="pct"/>
            <w:vMerge w:val="continue"/>
            <w:vAlign w:val="center"/>
          </w:tcPr>
          <w:p w14:paraId="265125D9">
            <w:pPr>
              <w:widowControl/>
              <w:jc w:val="center"/>
              <w:rPr>
                <w:rFonts w:hint="eastAsia" w:ascii="宋体" w:hAnsi="宋体" w:cs="宋体"/>
                <w:b/>
                <w:kern w:val="0"/>
                <w:szCs w:val="21"/>
              </w:rPr>
            </w:pPr>
          </w:p>
        </w:tc>
        <w:tc>
          <w:tcPr>
            <w:tcW w:w="801" w:type="pct"/>
            <w:vAlign w:val="center"/>
          </w:tcPr>
          <w:p w14:paraId="1225CC61">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主轴轴线对X轴线在ZX平面内运动的垂直度≤</w:t>
            </w:r>
          </w:p>
        </w:tc>
        <w:tc>
          <w:tcPr>
            <w:tcW w:w="1067" w:type="pct"/>
            <w:vAlign w:val="center"/>
          </w:tcPr>
          <w:p w14:paraId="4F1E50D9">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在300测量长度上或全行程上（α≥90°）</w:t>
            </w:r>
          </w:p>
        </w:tc>
        <w:tc>
          <w:tcPr>
            <w:tcW w:w="379" w:type="pct"/>
            <w:vAlign w:val="center"/>
          </w:tcPr>
          <w:p w14:paraId="591063BB">
            <w:pPr>
              <w:pStyle w:val="11"/>
              <w:spacing w:before="0" w:beforeAutospacing="0" w:after="0" w:afterAutospacing="0"/>
              <w:jc w:val="center"/>
              <w:rPr>
                <w:rFonts w:hint="eastAsia" w:eastAsia="宋体" w:cs="宋体"/>
                <w:szCs w:val="21"/>
              </w:rPr>
            </w:pPr>
            <w:r>
              <w:rPr>
                <w:rFonts w:hint="eastAsia" w:eastAsia="宋体" w:cs="宋体"/>
                <w:color w:val="000000"/>
                <w:sz w:val="21"/>
                <w:szCs w:val="21"/>
              </w:rPr>
              <w:t>mm</w:t>
            </w:r>
          </w:p>
        </w:tc>
        <w:tc>
          <w:tcPr>
            <w:tcW w:w="1033" w:type="pct"/>
            <w:vAlign w:val="center"/>
          </w:tcPr>
          <w:p w14:paraId="64CEE109">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0.008</w:t>
            </w:r>
          </w:p>
        </w:tc>
        <w:tc>
          <w:tcPr>
            <w:tcW w:w="1265" w:type="pct"/>
            <w:vAlign w:val="center"/>
          </w:tcPr>
          <w:p w14:paraId="6F9C09E2">
            <w:pPr>
              <w:pStyle w:val="11"/>
              <w:spacing w:before="0" w:beforeAutospacing="0" w:after="0" w:afterAutospacing="0"/>
              <w:jc w:val="center"/>
              <w:rPr>
                <w:rFonts w:hint="eastAsia" w:eastAsia="宋体" w:cs="宋体"/>
                <w:color w:val="000000"/>
                <w:sz w:val="21"/>
                <w:szCs w:val="21"/>
              </w:rPr>
            </w:pPr>
            <w:r>
              <w:rPr>
                <w:rFonts w:hint="eastAsia" w:eastAsia="宋体" w:cs="宋体"/>
                <w:color w:val="000000"/>
                <w:sz w:val="21"/>
                <w:szCs w:val="21"/>
              </w:rPr>
              <w:t>0.015</w:t>
            </w:r>
          </w:p>
        </w:tc>
      </w:tr>
    </w:tbl>
    <w:p w14:paraId="770B0965">
      <w:pPr>
        <w:spacing w:line="360" w:lineRule="auto"/>
        <w:ind w:firstLine="482" w:firstLineChars="200"/>
        <w:outlineLvl w:val="2"/>
        <w:rPr>
          <w:rFonts w:hint="eastAsia" w:ascii="宋体" w:hAnsi="宋体" w:eastAsia="宋体" w:cs="楷体"/>
          <w:b/>
          <w:color w:val="000000"/>
          <w:sz w:val="24"/>
          <w:szCs w:val="32"/>
        </w:rPr>
      </w:pPr>
      <w:bookmarkStart w:id="27" w:name="_Toc48809482"/>
      <w:r>
        <w:rPr>
          <w:rFonts w:hint="eastAsia" w:ascii="宋体" w:hAnsi="宋体" w:eastAsia="宋体" w:cs="楷体"/>
          <w:b/>
          <w:color w:val="000000"/>
          <w:sz w:val="24"/>
          <w:szCs w:val="32"/>
        </w:rPr>
        <w:t>（二）产品售后责任</w:t>
      </w:r>
      <w:bookmarkEnd w:id="27"/>
    </w:p>
    <w:p w14:paraId="7D7451A3">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旨恒机床在售后服务方面，加强顾客反馈和异议处理管理，并制定管理流程，明确销售管理部的职责，保证顾客投诉得到及时有效处理。同时，为确保客户投诉的信息有效利用，公司每月对生产质量投诉进行汇总；对存在相似的生产质量投诉问题进行专题分析，制定整改措施，并通过质量体系进行审核，实施有效改进。</w:t>
      </w:r>
    </w:p>
    <w:p w14:paraId="726CD46C">
      <w:pPr>
        <w:spacing w:line="360" w:lineRule="auto"/>
        <w:ind w:firstLine="482" w:firstLineChars="200"/>
        <w:outlineLvl w:val="2"/>
        <w:rPr>
          <w:rFonts w:hint="eastAsia" w:ascii="宋体" w:hAnsi="宋体" w:eastAsia="宋体" w:cs="楷体"/>
          <w:b/>
          <w:color w:val="000000"/>
          <w:sz w:val="24"/>
          <w:szCs w:val="32"/>
        </w:rPr>
      </w:pPr>
      <w:bookmarkStart w:id="28" w:name="_Toc48809483"/>
      <w:r>
        <w:rPr>
          <w:rFonts w:hint="eastAsia" w:ascii="宋体" w:hAnsi="宋体" w:eastAsia="宋体" w:cs="楷体"/>
          <w:b/>
          <w:color w:val="000000"/>
          <w:sz w:val="24"/>
          <w:szCs w:val="32"/>
        </w:rPr>
        <w:t>（三）企业社会责任</w:t>
      </w:r>
      <w:bookmarkEnd w:id="28"/>
    </w:p>
    <w:p w14:paraId="541E16F7">
      <w:pPr>
        <w:spacing w:line="360" w:lineRule="auto"/>
        <w:ind w:firstLine="482" w:firstLineChars="200"/>
        <w:rPr>
          <w:rFonts w:hint="eastAsia" w:ascii="宋体" w:hAnsi="宋体" w:eastAsia="宋体" w:cs="黑体"/>
          <w:b/>
          <w:sz w:val="24"/>
          <w:szCs w:val="28"/>
        </w:rPr>
      </w:pPr>
      <w:r>
        <w:rPr>
          <w:rFonts w:hint="eastAsia" w:ascii="宋体" w:hAnsi="宋体" w:eastAsia="宋体" w:cs="黑体"/>
          <w:b/>
          <w:sz w:val="24"/>
          <w:szCs w:val="28"/>
        </w:rPr>
        <w:t>（1）企业公共责任</w:t>
      </w:r>
    </w:p>
    <w:p w14:paraId="2163D295">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公司建立了ISO 14001环境管理体系、ISO45001职业健康安全管理，并导入了卓越绩效管理模式，公司每年系统地识别和评估产品、服务和运营对质量安全、环境保护、能源节约和资源综合利用以及公共卫生等方面的影响，并制定预防、控制和改进措施。</w:t>
      </w:r>
    </w:p>
    <w:p w14:paraId="0D92513C">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一直以来公司注重“产品质量、环境保护、能源资源利用、安全生产”等工作的推进，通过严格生产过程、环境保护和危险源识别等各环节的管控，有效促进了公司产品质量的提高、生产安全的保障、节能降耗的实现和行业竞争力的提升。</w:t>
      </w:r>
    </w:p>
    <w:p w14:paraId="414319A1">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环境保护、节能降耗、安全生产、职业健康等方面的控制/改进措施见表4。</w:t>
      </w:r>
    </w:p>
    <w:p w14:paraId="463AFD1F">
      <w:pPr>
        <w:adjustRightInd w:val="0"/>
        <w:snapToGrid w:val="0"/>
        <w:jc w:val="center"/>
        <w:rPr>
          <w:rFonts w:hint="eastAsia" w:ascii="宋体" w:hAnsi="宋体" w:eastAsia="宋体" w:cs="宋体"/>
          <w:b/>
          <w:sz w:val="24"/>
          <w:szCs w:val="28"/>
        </w:rPr>
      </w:pPr>
      <w:r>
        <w:rPr>
          <w:rFonts w:hint="eastAsia" w:ascii="宋体" w:hAnsi="宋体" w:eastAsia="宋体" w:cs="宋体"/>
          <w:b/>
          <w:sz w:val="24"/>
          <w:szCs w:val="28"/>
        </w:rPr>
        <w:t>表4 公共责任方面的控制和改进措施</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562"/>
        <w:gridCol w:w="2125"/>
        <w:gridCol w:w="1700"/>
        <w:gridCol w:w="2862"/>
      </w:tblGrid>
      <w:tr w14:paraId="0443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17" w:type="pct"/>
            <w:shd w:val="clear" w:color="auto" w:fill="538135"/>
            <w:tcMar>
              <w:left w:w="28" w:type="dxa"/>
              <w:right w:w="28" w:type="dxa"/>
            </w:tcMar>
            <w:vAlign w:val="center"/>
          </w:tcPr>
          <w:p w14:paraId="600D5A9D">
            <w:pPr>
              <w:widowControl/>
              <w:spacing w:line="300" w:lineRule="auto"/>
              <w:jc w:val="center"/>
              <w:rPr>
                <w:rFonts w:hint="eastAsia" w:ascii="宋体" w:hAnsi="宋体"/>
                <w:b/>
                <w:bCs/>
                <w:color w:val="FFFFFF"/>
                <w:spacing w:val="-2"/>
                <w:szCs w:val="21"/>
              </w:rPr>
            </w:pPr>
            <w:r>
              <w:rPr>
                <w:rFonts w:ascii="宋体" w:hAnsi="宋体"/>
                <w:b/>
                <w:bCs/>
                <w:color w:val="FFFFFF"/>
                <w:spacing w:val="-2"/>
                <w:szCs w:val="21"/>
              </w:rPr>
              <w:t>控制项目</w:t>
            </w:r>
          </w:p>
        </w:tc>
        <w:tc>
          <w:tcPr>
            <w:tcW w:w="830" w:type="pct"/>
            <w:shd w:val="clear" w:color="auto" w:fill="538135"/>
            <w:tcMar>
              <w:left w:w="28" w:type="dxa"/>
              <w:right w:w="28" w:type="dxa"/>
            </w:tcMar>
            <w:vAlign w:val="center"/>
          </w:tcPr>
          <w:p w14:paraId="7B5A1664">
            <w:pPr>
              <w:ind w:right="-20"/>
              <w:jc w:val="center"/>
              <w:rPr>
                <w:rFonts w:hint="eastAsia" w:ascii="宋体" w:hAnsi="宋体"/>
                <w:b/>
                <w:bCs/>
                <w:color w:val="FFFFFF"/>
                <w:spacing w:val="-2"/>
                <w:szCs w:val="21"/>
              </w:rPr>
            </w:pPr>
            <w:r>
              <w:rPr>
                <w:rFonts w:hint="eastAsia" w:ascii="宋体" w:hAnsi="宋体"/>
                <w:b/>
                <w:bCs/>
                <w:color w:val="FFFFFF"/>
                <w:spacing w:val="-2"/>
                <w:szCs w:val="21"/>
              </w:rPr>
              <w:t>相关风险</w:t>
            </w:r>
          </w:p>
        </w:tc>
        <w:tc>
          <w:tcPr>
            <w:tcW w:w="1129" w:type="pct"/>
            <w:shd w:val="clear" w:color="auto" w:fill="538135"/>
            <w:vAlign w:val="center"/>
          </w:tcPr>
          <w:p w14:paraId="4A1A06F8">
            <w:pPr>
              <w:ind w:right="-20"/>
              <w:jc w:val="center"/>
              <w:rPr>
                <w:rFonts w:hint="eastAsia" w:ascii="宋体" w:hAnsi="宋体"/>
                <w:b/>
                <w:bCs/>
                <w:color w:val="FFFFFF"/>
                <w:spacing w:val="-2"/>
                <w:szCs w:val="21"/>
              </w:rPr>
            </w:pPr>
            <w:r>
              <w:rPr>
                <w:rFonts w:hint="eastAsia" w:ascii="宋体" w:hAnsi="宋体"/>
                <w:b/>
                <w:bCs/>
                <w:color w:val="FFFFFF"/>
                <w:spacing w:val="-2"/>
                <w:szCs w:val="21"/>
              </w:rPr>
              <w:t>内控指标和目标</w:t>
            </w:r>
          </w:p>
        </w:tc>
        <w:tc>
          <w:tcPr>
            <w:tcW w:w="903" w:type="pct"/>
            <w:shd w:val="clear" w:color="auto" w:fill="538135"/>
            <w:vAlign w:val="center"/>
          </w:tcPr>
          <w:p w14:paraId="638A2FAF">
            <w:pPr>
              <w:ind w:right="-20"/>
              <w:jc w:val="center"/>
              <w:rPr>
                <w:rFonts w:hint="eastAsia" w:ascii="宋体" w:hAnsi="宋体"/>
                <w:b/>
                <w:bCs/>
                <w:color w:val="FFFFFF"/>
                <w:spacing w:val="-2"/>
                <w:szCs w:val="21"/>
              </w:rPr>
            </w:pPr>
            <w:r>
              <w:rPr>
                <w:rFonts w:hint="eastAsia" w:ascii="宋体" w:hAnsi="宋体"/>
                <w:b/>
                <w:bCs/>
                <w:color w:val="FFFFFF"/>
                <w:spacing w:val="-2"/>
                <w:szCs w:val="21"/>
              </w:rPr>
              <w:t>测量方法</w:t>
            </w:r>
          </w:p>
        </w:tc>
        <w:tc>
          <w:tcPr>
            <w:tcW w:w="1520" w:type="pct"/>
            <w:shd w:val="clear" w:color="auto" w:fill="538135"/>
            <w:tcMar>
              <w:left w:w="28" w:type="dxa"/>
              <w:right w:w="28" w:type="dxa"/>
            </w:tcMar>
            <w:vAlign w:val="center"/>
          </w:tcPr>
          <w:p w14:paraId="47543360">
            <w:pPr>
              <w:ind w:right="-20"/>
              <w:jc w:val="center"/>
              <w:rPr>
                <w:rFonts w:hint="eastAsia" w:ascii="宋体" w:hAnsi="宋体"/>
                <w:b/>
                <w:bCs/>
                <w:color w:val="FFFFFF"/>
                <w:spacing w:val="-2"/>
                <w:szCs w:val="21"/>
              </w:rPr>
            </w:pPr>
            <w:r>
              <w:rPr>
                <w:rFonts w:hint="eastAsia" w:ascii="宋体" w:hAnsi="宋体"/>
                <w:b/>
                <w:bCs/>
                <w:color w:val="FFFFFF"/>
                <w:spacing w:val="-2"/>
                <w:szCs w:val="21"/>
              </w:rPr>
              <w:t>控制过程及措施</w:t>
            </w:r>
          </w:p>
        </w:tc>
      </w:tr>
      <w:tr w14:paraId="1140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17" w:type="pct"/>
            <w:tcMar>
              <w:left w:w="28" w:type="dxa"/>
              <w:right w:w="28" w:type="dxa"/>
            </w:tcMar>
            <w:vAlign w:val="center"/>
          </w:tcPr>
          <w:p w14:paraId="37EE8730">
            <w:pPr>
              <w:widowControl/>
              <w:jc w:val="center"/>
              <w:rPr>
                <w:rFonts w:hint="eastAsia" w:ascii="宋体" w:hAnsi="宋体" w:cs="宋体"/>
                <w:spacing w:val="-2"/>
                <w:szCs w:val="21"/>
              </w:rPr>
            </w:pPr>
            <w:r>
              <w:rPr>
                <w:rFonts w:hint="eastAsia" w:ascii="宋体" w:hAnsi="宋体" w:cs="宋体"/>
                <w:spacing w:val="-2"/>
                <w:szCs w:val="21"/>
              </w:rPr>
              <w:t>产品和质量安全</w:t>
            </w:r>
          </w:p>
        </w:tc>
        <w:tc>
          <w:tcPr>
            <w:tcW w:w="830" w:type="pct"/>
            <w:tcMar>
              <w:left w:w="28" w:type="dxa"/>
              <w:right w:w="28" w:type="dxa"/>
            </w:tcMar>
            <w:vAlign w:val="center"/>
          </w:tcPr>
          <w:p w14:paraId="54C4FEC0">
            <w:pPr>
              <w:widowControl/>
              <w:jc w:val="center"/>
              <w:rPr>
                <w:rFonts w:hint="eastAsia" w:ascii="宋体" w:hAnsi="宋体" w:cs="宋体"/>
                <w:spacing w:val="-2"/>
                <w:szCs w:val="21"/>
              </w:rPr>
            </w:pPr>
            <w:r>
              <w:rPr>
                <w:rFonts w:hint="eastAsia" w:ascii="宋体" w:hAnsi="宋体" w:cs="宋体"/>
                <w:spacing w:val="-2"/>
                <w:szCs w:val="21"/>
              </w:rPr>
              <w:t>因质量缺陷导致不合格品召回</w:t>
            </w:r>
          </w:p>
        </w:tc>
        <w:tc>
          <w:tcPr>
            <w:tcW w:w="1129" w:type="pct"/>
            <w:vAlign w:val="center"/>
          </w:tcPr>
          <w:p w14:paraId="246DDC13">
            <w:pPr>
              <w:ind w:right="53"/>
              <w:jc w:val="center"/>
              <w:rPr>
                <w:rFonts w:hint="eastAsia" w:ascii="宋体" w:hAnsi="宋体" w:cs="宋体"/>
                <w:spacing w:val="-2"/>
                <w:szCs w:val="21"/>
              </w:rPr>
            </w:pPr>
            <w:r>
              <w:rPr>
                <w:rFonts w:hint="eastAsia" w:ascii="宋体" w:hAnsi="宋体" w:cs="宋体"/>
                <w:spacing w:val="-2"/>
                <w:szCs w:val="21"/>
              </w:rPr>
              <w:t>按相应的国家标准或企业标准</w:t>
            </w:r>
          </w:p>
        </w:tc>
        <w:tc>
          <w:tcPr>
            <w:tcW w:w="903" w:type="pct"/>
            <w:vAlign w:val="center"/>
          </w:tcPr>
          <w:p w14:paraId="25A093F4">
            <w:pPr>
              <w:ind w:right="27"/>
              <w:jc w:val="center"/>
              <w:rPr>
                <w:rFonts w:hint="eastAsia" w:ascii="宋体" w:hAnsi="宋体" w:cs="宋体"/>
                <w:spacing w:val="-2"/>
                <w:szCs w:val="21"/>
              </w:rPr>
            </w:pPr>
            <w:r>
              <w:rPr>
                <w:rFonts w:hint="eastAsia" w:ascii="宋体" w:hAnsi="宋体" w:cs="宋体"/>
                <w:spacing w:val="-2"/>
                <w:szCs w:val="21"/>
              </w:rPr>
              <w:t>公司内部监测、委外监测</w:t>
            </w:r>
          </w:p>
        </w:tc>
        <w:tc>
          <w:tcPr>
            <w:tcW w:w="1520" w:type="pct"/>
            <w:tcMar>
              <w:left w:w="28" w:type="dxa"/>
              <w:right w:w="28" w:type="dxa"/>
            </w:tcMar>
            <w:vAlign w:val="center"/>
          </w:tcPr>
          <w:p w14:paraId="1C58C352">
            <w:pPr>
              <w:ind w:right="-20"/>
              <w:jc w:val="left"/>
              <w:rPr>
                <w:rFonts w:hint="eastAsia" w:ascii="宋体" w:hAnsi="宋体" w:cs="宋体"/>
                <w:spacing w:val="-2"/>
                <w:szCs w:val="21"/>
              </w:rPr>
            </w:pPr>
            <w:r>
              <w:rPr>
                <w:rFonts w:hint="eastAsia" w:ascii="宋体" w:hAnsi="宋体" w:cs="宋体"/>
                <w:spacing w:val="-2"/>
                <w:szCs w:val="21"/>
              </w:rPr>
              <w:t>1.按</w:t>
            </w:r>
            <w:r>
              <w:rPr>
                <w:rFonts w:ascii="宋体" w:hAnsi="宋体" w:cs="宋体"/>
                <w:spacing w:val="-2"/>
                <w:szCs w:val="21"/>
              </w:rPr>
              <w:t>ISO 9001</w:t>
            </w:r>
            <w:r>
              <w:rPr>
                <w:rFonts w:hint="eastAsia" w:ascii="宋体" w:hAnsi="宋体" w:cs="宋体"/>
                <w:spacing w:val="-2"/>
                <w:szCs w:val="21"/>
              </w:rPr>
              <w:t>体系管理；</w:t>
            </w:r>
          </w:p>
          <w:p w14:paraId="1449E5CD">
            <w:pPr>
              <w:spacing w:before="13"/>
              <w:ind w:right="-20"/>
              <w:jc w:val="left"/>
              <w:rPr>
                <w:rFonts w:hint="eastAsia" w:ascii="宋体" w:hAnsi="宋体" w:cs="宋体"/>
                <w:spacing w:val="-2"/>
                <w:szCs w:val="21"/>
              </w:rPr>
            </w:pPr>
            <w:r>
              <w:rPr>
                <w:rFonts w:hint="eastAsia" w:ascii="宋体" w:hAnsi="宋体" w:cs="宋体"/>
                <w:spacing w:val="-2"/>
                <w:szCs w:val="21"/>
              </w:rPr>
              <w:t>2.制定文件控制实施SOP；</w:t>
            </w:r>
          </w:p>
          <w:p w14:paraId="7201A81C">
            <w:pPr>
              <w:spacing w:before="13"/>
              <w:ind w:right="-20"/>
              <w:jc w:val="left"/>
              <w:rPr>
                <w:rFonts w:hint="eastAsia" w:ascii="宋体" w:hAnsi="宋体" w:cs="宋体"/>
                <w:spacing w:val="-2"/>
                <w:szCs w:val="21"/>
              </w:rPr>
            </w:pPr>
            <w:r>
              <w:rPr>
                <w:rFonts w:hint="eastAsia" w:ascii="宋体" w:hAnsi="宋体" w:cs="宋体"/>
                <w:spacing w:val="-2"/>
                <w:szCs w:val="21"/>
              </w:rPr>
              <w:t>3.监测材料及产品；</w:t>
            </w:r>
          </w:p>
          <w:p w14:paraId="449B34AE">
            <w:pPr>
              <w:widowControl/>
              <w:jc w:val="left"/>
              <w:rPr>
                <w:rFonts w:hint="eastAsia" w:ascii="宋体" w:hAnsi="宋体" w:cs="宋体"/>
                <w:spacing w:val="-2"/>
                <w:szCs w:val="21"/>
              </w:rPr>
            </w:pPr>
            <w:r>
              <w:rPr>
                <w:rFonts w:hint="eastAsia" w:ascii="宋体" w:hAnsi="宋体" w:cs="宋体"/>
                <w:spacing w:val="-2"/>
                <w:szCs w:val="21"/>
              </w:rPr>
              <w:t>4.严苛的产品认证和质量监控。</w:t>
            </w:r>
          </w:p>
        </w:tc>
      </w:tr>
      <w:tr w14:paraId="7CC2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17" w:type="pct"/>
            <w:tcMar>
              <w:left w:w="28" w:type="dxa"/>
              <w:right w:w="28" w:type="dxa"/>
            </w:tcMar>
            <w:vAlign w:val="center"/>
          </w:tcPr>
          <w:p w14:paraId="7E89B26D">
            <w:pPr>
              <w:ind w:right="-20"/>
              <w:jc w:val="center"/>
              <w:rPr>
                <w:rFonts w:hint="eastAsia" w:ascii="宋体" w:hAnsi="宋体" w:cs="宋体"/>
                <w:spacing w:val="-2"/>
                <w:szCs w:val="21"/>
              </w:rPr>
            </w:pPr>
            <w:r>
              <w:rPr>
                <w:rFonts w:hint="eastAsia" w:ascii="宋体" w:hAnsi="宋体" w:cs="宋体"/>
                <w:spacing w:val="-2"/>
                <w:szCs w:val="21"/>
              </w:rPr>
              <w:t>环境保护</w:t>
            </w:r>
          </w:p>
        </w:tc>
        <w:tc>
          <w:tcPr>
            <w:tcW w:w="830" w:type="pct"/>
            <w:tcMar>
              <w:left w:w="28" w:type="dxa"/>
              <w:right w:w="28" w:type="dxa"/>
            </w:tcMar>
            <w:vAlign w:val="center"/>
          </w:tcPr>
          <w:p w14:paraId="038EF9F6">
            <w:pPr>
              <w:spacing w:before="42"/>
              <w:ind w:right="63"/>
              <w:jc w:val="center"/>
              <w:rPr>
                <w:rFonts w:hint="eastAsia" w:ascii="宋体" w:hAnsi="宋体" w:cs="宋体"/>
                <w:spacing w:val="-2"/>
                <w:szCs w:val="21"/>
              </w:rPr>
            </w:pPr>
            <w:r>
              <w:rPr>
                <w:rFonts w:hint="eastAsia" w:ascii="宋体" w:hAnsi="宋体" w:cs="宋体"/>
                <w:spacing w:val="-2"/>
                <w:szCs w:val="21"/>
              </w:rPr>
              <w:t>污水、粉尘、噪声、废物等造成环境污染、干扰居民生活</w:t>
            </w:r>
          </w:p>
        </w:tc>
        <w:tc>
          <w:tcPr>
            <w:tcW w:w="1129" w:type="pct"/>
            <w:vAlign w:val="center"/>
          </w:tcPr>
          <w:p w14:paraId="1F17F74F">
            <w:pPr>
              <w:ind w:right="-93"/>
              <w:jc w:val="center"/>
              <w:rPr>
                <w:rFonts w:hint="eastAsia" w:ascii="宋体" w:hAnsi="宋体" w:cs="宋体"/>
                <w:spacing w:val="-2"/>
                <w:szCs w:val="21"/>
              </w:rPr>
            </w:pPr>
            <w:r>
              <w:rPr>
                <w:rFonts w:hint="eastAsia" w:ascii="宋体" w:hAnsi="宋体" w:cs="宋体"/>
                <w:spacing w:val="-2"/>
                <w:szCs w:val="21"/>
              </w:rPr>
              <w:t>执行相应的国家标准；废物管理：分类管理、妥善处置</w:t>
            </w:r>
          </w:p>
        </w:tc>
        <w:tc>
          <w:tcPr>
            <w:tcW w:w="903" w:type="pct"/>
            <w:vAlign w:val="center"/>
          </w:tcPr>
          <w:p w14:paraId="75775A3A">
            <w:pPr>
              <w:ind w:right="-18"/>
              <w:jc w:val="center"/>
              <w:rPr>
                <w:rFonts w:hint="eastAsia" w:ascii="宋体" w:hAnsi="宋体" w:cs="宋体"/>
                <w:spacing w:val="-2"/>
                <w:szCs w:val="21"/>
              </w:rPr>
            </w:pPr>
            <w:r>
              <w:rPr>
                <w:rFonts w:hint="eastAsia" w:ascii="宋体" w:hAnsi="宋体" w:cs="宋体"/>
                <w:spacing w:val="-2"/>
                <w:szCs w:val="21"/>
              </w:rPr>
              <w:t>公司内部测量、环境监测部门</w:t>
            </w:r>
          </w:p>
          <w:p w14:paraId="7ECD5CAD">
            <w:pPr>
              <w:ind w:right="-18"/>
              <w:jc w:val="center"/>
              <w:rPr>
                <w:rFonts w:hint="eastAsia" w:ascii="宋体" w:hAnsi="宋体" w:cs="宋体"/>
                <w:spacing w:val="-2"/>
                <w:szCs w:val="21"/>
              </w:rPr>
            </w:pPr>
            <w:r>
              <w:rPr>
                <w:rFonts w:hint="eastAsia" w:ascii="宋体" w:hAnsi="宋体" w:cs="宋体"/>
                <w:spacing w:val="-2"/>
                <w:szCs w:val="21"/>
              </w:rPr>
              <w:t>测量</w:t>
            </w:r>
          </w:p>
        </w:tc>
        <w:tc>
          <w:tcPr>
            <w:tcW w:w="1520" w:type="pct"/>
            <w:tcMar>
              <w:left w:w="28" w:type="dxa"/>
              <w:right w:w="28" w:type="dxa"/>
            </w:tcMar>
            <w:vAlign w:val="center"/>
          </w:tcPr>
          <w:p w14:paraId="2769518F">
            <w:pPr>
              <w:spacing w:before="53"/>
              <w:ind w:right="-20"/>
              <w:jc w:val="left"/>
              <w:rPr>
                <w:rFonts w:hint="eastAsia" w:ascii="宋体" w:hAnsi="宋体" w:cs="宋体"/>
                <w:spacing w:val="-2"/>
                <w:szCs w:val="21"/>
              </w:rPr>
            </w:pPr>
            <w:r>
              <w:rPr>
                <w:rFonts w:hint="eastAsia" w:ascii="宋体" w:hAnsi="宋体" w:cs="宋体"/>
                <w:spacing w:val="-2"/>
                <w:szCs w:val="21"/>
              </w:rPr>
              <w:t>1.制定文件控制；</w:t>
            </w:r>
          </w:p>
          <w:p w14:paraId="0E6AA668">
            <w:pPr>
              <w:spacing w:before="13"/>
              <w:ind w:right="-20"/>
              <w:jc w:val="left"/>
              <w:rPr>
                <w:rFonts w:hint="eastAsia" w:ascii="宋体" w:hAnsi="宋体" w:cs="宋体"/>
                <w:spacing w:val="-2"/>
                <w:szCs w:val="21"/>
              </w:rPr>
            </w:pPr>
            <w:r>
              <w:rPr>
                <w:rFonts w:hint="eastAsia" w:ascii="宋体" w:hAnsi="宋体" w:cs="宋体"/>
                <w:spacing w:val="-2"/>
                <w:szCs w:val="21"/>
              </w:rPr>
              <w:t>2.按环境管理体系标准管理；</w:t>
            </w:r>
          </w:p>
          <w:p w14:paraId="2C7E93E3">
            <w:pPr>
              <w:spacing w:before="13"/>
              <w:ind w:right="-20"/>
              <w:jc w:val="left"/>
              <w:rPr>
                <w:rFonts w:hint="eastAsia" w:ascii="宋体" w:hAnsi="宋体" w:cs="宋体"/>
                <w:spacing w:val="-2"/>
                <w:szCs w:val="21"/>
              </w:rPr>
            </w:pPr>
            <w:r>
              <w:rPr>
                <w:rFonts w:hint="eastAsia" w:ascii="宋体" w:hAnsi="宋体" w:cs="宋体"/>
                <w:spacing w:val="-2"/>
                <w:szCs w:val="21"/>
              </w:rPr>
              <w:t>3.环境影响评价；</w:t>
            </w:r>
          </w:p>
          <w:p w14:paraId="0EFC3679">
            <w:pPr>
              <w:spacing w:before="13"/>
              <w:ind w:right="-20"/>
              <w:jc w:val="left"/>
              <w:rPr>
                <w:rFonts w:hint="eastAsia" w:ascii="宋体" w:hAnsi="宋体" w:cs="宋体"/>
                <w:spacing w:val="-2"/>
                <w:szCs w:val="21"/>
              </w:rPr>
            </w:pPr>
            <w:r>
              <w:rPr>
                <w:rFonts w:hint="eastAsia" w:ascii="宋体" w:hAnsi="宋体" w:cs="宋体"/>
                <w:spacing w:val="-2"/>
                <w:szCs w:val="21"/>
              </w:rPr>
              <w:t>4.建立处理设施减少废气排放。</w:t>
            </w:r>
          </w:p>
        </w:tc>
      </w:tr>
      <w:tr w14:paraId="67A2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17" w:type="pct"/>
            <w:tcMar>
              <w:left w:w="28" w:type="dxa"/>
              <w:right w:w="28" w:type="dxa"/>
            </w:tcMar>
            <w:vAlign w:val="center"/>
          </w:tcPr>
          <w:p w14:paraId="49CDA6C4">
            <w:pPr>
              <w:ind w:right="66"/>
              <w:jc w:val="center"/>
              <w:rPr>
                <w:rFonts w:hint="eastAsia" w:ascii="宋体" w:hAnsi="宋体" w:cs="宋体"/>
                <w:spacing w:val="-2"/>
                <w:szCs w:val="21"/>
              </w:rPr>
            </w:pPr>
            <w:r>
              <w:rPr>
                <w:rFonts w:hint="eastAsia" w:ascii="宋体" w:hAnsi="宋体" w:cs="宋体"/>
                <w:spacing w:val="-2"/>
                <w:szCs w:val="21"/>
              </w:rPr>
              <w:t>节能和资源综合利用</w:t>
            </w:r>
          </w:p>
        </w:tc>
        <w:tc>
          <w:tcPr>
            <w:tcW w:w="830" w:type="pct"/>
            <w:tcMar>
              <w:left w:w="28" w:type="dxa"/>
              <w:right w:w="28" w:type="dxa"/>
            </w:tcMar>
            <w:vAlign w:val="center"/>
          </w:tcPr>
          <w:p w14:paraId="71837E0C">
            <w:pPr>
              <w:ind w:right="63"/>
              <w:jc w:val="center"/>
              <w:rPr>
                <w:rFonts w:hint="eastAsia" w:ascii="宋体" w:hAnsi="宋体" w:cs="宋体"/>
                <w:spacing w:val="-2"/>
                <w:szCs w:val="21"/>
              </w:rPr>
            </w:pPr>
            <w:r>
              <w:rPr>
                <w:rFonts w:hint="eastAsia" w:ascii="宋体" w:hAnsi="宋体" w:cs="宋体"/>
                <w:spacing w:val="-2"/>
                <w:szCs w:val="21"/>
              </w:rPr>
              <w:t>油、电、水等消耗，浪费能源和资源</w:t>
            </w:r>
          </w:p>
        </w:tc>
        <w:tc>
          <w:tcPr>
            <w:tcW w:w="1129" w:type="pct"/>
            <w:vAlign w:val="center"/>
          </w:tcPr>
          <w:p w14:paraId="5C879230">
            <w:pPr>
              <w:ind w:right="53"/>
              <w:jc w:val="center"/>
              <w:rPr>
                <w:rFonts w:hint="eastAsia" w:ascii="宋体" w:hAnsi="宋体" w:cs="宋体"/>
                <w:spacing w:val="-2"/>
                <w:szCs w:val="21"/>
              </w:rPr>
            </w:pPr>
            <w:r>
              <w:rPr>
                <w:rFonts w:hint="eastAsia" w:ascii="宋体" w:hAnsi="宋体" w:cs="宋体"/>
                <w:spacing w:val="-2"/>
                <w:szCs w:val="21"/>
              </w:rPr>
              <w:t>按年度公司节能降耗目标指标</w:t>
            </w:r>
          </w:p>
        </w:tc>
        <w:tc>
          <w:tcPr>
            <w:tcW w:w="903" w:type="pct"/>
            <w:vAlign w:val="center"/>
          </w:tcPr>
          <w:p w14:paraId="580010C8">
            <w:pPr>
              <w:ind w:right="-20"/>
              <w:jc w:val="center"/>
              <w:rPr>
                <w:rFonts w:hint="eastAsia" w:ascii="宋体" w:hAnsi="宋体" w:cs="宋体"/>
                <w:spacing w:val="-2"/>
                <w:szCs w:val="21"/>
              </w:rPr>
            </w:pPr>
            <w:r>
              <w:rPr>
                <w:rFonts w:hint="eastAsia" w:ascii="宋体" w:hAnsi="宋体" w:cs="宋体"/>
                <w:spacing w:val="-2"/>
                <w:szCs w:val="21"/>
              </w:rPr>
              <w:t>统计与分析</w:t>
            </w:r>
          </w:p>
        </w:tc>
        <w:tc>
          <w:tcPr>
            <w:tcW w:w="1520" w:type="pct"/>
            <w:tcMar>
              <w:left w:w="28" w:type="dxa"/>
              <w:right w:w="28" w:type="dxa"/>
            </w:tcMar>
            <w:vAlign w:val="center"/>
          </w:tcPr>
          <w:p w14:paraId="15909E3A">
            <w:pPr>
              <w:spacing w:before="40"/>
              <w:ind w:right="-52"/>
              <w:jc w:val="left"/>
              <w:rPr>
                <w:rFonts w:hint="eastAsia" w:ascii="宋体" w:hAnsi="宋体" w:cs="宋体"/>
                <w:spacing w:val="-2"/>
                <w:szCs w:val="21"/>
              </w:rPr>
            </w:pPr>
            <w:r>
              <w:rPr>
                <w:rFonts w:hint="eastAsia" w:ascii="宋体" w:hAnsi="宋体" w:cs="宋体"/>
                <w:spacing w:val="-2"/>
                <w:szCs w:val="21"/>
              </w:rPr>
              <w:t>1.推广利用节能新技术、新工艺、主体厂房更换节能灯；</w:t>
            </w:r>
          </w:p>
          <w:p w14:paraId="6812DB2E">
            <w:pPr>
              <w:spacing w:before="6"/>
              <w:ind w:right="-20"/>
              <w:jc w:val="left"/>
              <w:rPr>
                <w:rFonts w:hint="eastAsia" w:ascii="宋体" w:hAnsi="宋体" w:cs="宋体"/>
                <w:spacing w:val="-2"/>
                <w:szCs w:val="21"/>
              </w:rPr>
            </w:pPr>
            <w:r>
              <w:rPr>
                <w:rFonts w:hint="eastAsia" w:ascii="宋体" w:hAnsi="宋体" w:cs="宋体"/>
                <w:spacing w:val="-2"/>
                <w:szCs w:val="21"/>
              </w:rPr>
              <w:t>2.建立企业循环水再利用系统；</w:t>
            </w:r>
          </w:p>
          <w:p w14:paraId="366F51D2">
            <w:pPr>
              <w:spacing w:before="13"/>
              <w:ind w:right="-20"/>
              <w:jc w:val="left"/>
              <w:rPr>
                <w:rFonts w:hint="eastAsia" w:ascii="宋体" w:hAnsi="宋体" w:cs="宋体"/>
                <w:spacing w:val="-2"/>
                <w:szCs w:val="21"/>
              </w:rPr>
            </w:pPr>
            <w:r>
              <w:rPr>
                <w:rFonts w:hint="eastAsia" w:ascii="宋体" w:hAnsi="宋体" w:cs="宋体"/>
                <w:spacing w:val="-2"/>
                <w:szCs w:val="21"/>
              </w:rPr>
              <w:t>3.开展降低电力耗能的攻关。</w:t>
            </w:r>
          </w:p>
        </w:tc>
      </w:tr>
      <w:tr w14:paraId="5654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17" w:type="pct"/>
            <w:tcMar>
              <w:left w:w="28" w:type="dxa"/>
              <w:right w:w="28" w:type="dxa"/>
            </w:tcMar>
            <w:vAlign w:val="center"/>
          </w:tcPr>
          <w:p w14:paraId="6A5A1D59">
            <w:pPr>
              <w:ind w:right="-20"/>
              <w:jc w:val="center"/>
              <w:rPr>
                <w:rFonts w:hint="eastAsia" w:ascii="宋体" w:hAnsi="宋体" w:cs="宋体"/>
                <w:spacing w:val="-2"/>
                <w:szCs w:val="21"/>
              </w:rPr>
            </w:pPr>
            <w:r>
              <w:rPr>
                <w:rFonts w:hint="eastAsia" w:ascii="宋体" w:hAnsi="宋体" w:cs="宋体"/>
                <w:spacing w:val="-2"/>
                <w:szCs w:val="21"/>
              </w:rPr>
              <w:t>公共卫生</w:t>
            </w:r>
          </w:p>
        </w:tc>
        <w:tc>
          <w:tcPr>
            <w:tcW w:w="830" w:type="pct"/>
            <w:tcMar>
              <w:left w:w="28" w:type="dxa"/>
              <w:right w:w="28" w:type="dxa"/>
            </w:tcMar>
            <w:vAlign w:val="center"/>
          </w:tcPr>
          <w:p w14:paraId="1E24C2EA">
            <w:pPr>
              <w:ind w:right="63"/>
              <w:jc w:val="center"/>
              <w:rPr>
                <w:rFonts w:hint="eastAsia" w:ascii="宋体" w:hAnsi="宋体" w:cs="宋体"/>
                <w:spacing w:val="-2"/>
                <w:szCs w:val="21"/>
              </w:rPr>
            </w:pPr>
            <w:r>
              <w:rPr>
                <w:rFonts w:hint="eastAsia" w:ascii="宋体" w:hAnsi="宋体" w:cs="宋体"/>
                <w:spacing w:val="-2"/>
                <w:szCs w:val="21"/>
              </w:rPr>
              <w:t>粉尘、噪声等，造成员工职业病</w:t>
            </w:r>
          </w:p>
        </w:tc>
        <w:tc>
          <w:tcPr>
            <w:tcW w:w="1129" w:type="pct"/>
            <w:vAlign w:val="center"/>
          </w:tcPr>
          <w:p w14:paraId="03564DD9">
            <w:pPr>
              <w:ind w:left="90" w:right="-20"/>
              <w:jc w:val="center"/>
              <w:rPr>
                <w:rFonts w:hint="eastAsia" w:ascii="宋体" w:hAnsi="宋体" w:cs="宋体"/>
                <w:spacing w:val="-2"/>
                <w:szCs w:val="21"/>
              </w:rPr>
            </w:pPr>
            <w:r>
              <w:rPr>
                <w:rFonts w:hint="eastAsia" w:ascii="宋体" w:hAnsi="宋体" w:cs="宋体"/>
                <w:spacing w:val="-2"/>
                <w:szCs w:val="21"/>
              </w:rPr>
              <w:t>工业场所有害因素职业接触限值（GBZ2-2002）</w:t>
            </w:r>
          </w:p>
        </w:tc>
        <w:tc>
          <w:tcPr>
            <w:tcW w:w="903" w:type="pct"/>
            <w:vAlign w:val="center"/>
          </w:tcPr>
          <w:p w14:paraId="20F53236">
            <w:pPr>
              <w:ind w:right="145"/>
              <w:jc w:val="center"/>
              <w:rPr>
                <w:rFonts w:hint="eastAsia" w:ascii="宋体" w:hAnsi="宋体" w:cs="宋体"/>
                <w:spacing w:val="-2"/>
                <w:szCs w:val="21"/>
              </w:rPr>
            </w:pPr>
            <w:r>
              <w:rPr>
                <w:rFonts w:hint="eastAsia" w:ascii="宋体" w:hAnsi="宋体" w:cs="宋体"/>
                <w:spacing w:val="-2"/>
                <w:szCs w:val="21"/>
              </w:rPr>
              <w:t>政府疾病预防控制中心监测</w:t>
            </w:r>
          </w:p>
        </w:tc>
        <w:tc>
          <w:tcPr>
            <w:tcW w:w="1520" w:type="pct"/>
            <w:tcMar>
              <w:left w:w="28" w:type="dxa"/>
              <w:right w:w="28" w:type="dxa"/>
            </w:tcMar>
            <w:vAlign w:val="center"/>
          </w:tcPr>
          <w:p w14:paraId="7993F3D1">
            <w:pPr>
              <w:ind w:right="-20"/>
              <w:jc w:val="left"/>
              <w:rPr>
                <w:rFonts w:hint="eastAsia" w:ascii="宋体" w:hAnsi="宋体" w:cs="宋体"/>
                <w:spacing w:val="-2"/>
                <w:szCs w:val="21"/>
              </w:rPr>
            </w:pPr>
            <w:r>
              <w:rPr>
                <w:rFonts w:hint="eastAsia" w:ascii="宋体" w:hAnsi="宋体" w:cs="宋体"/>
                <w:spacing w:val="-2"/>
                <w:szCs w:val="21"/>
              </w:rPr>
              <w:t>1.按安全管理法规要求管控；</w:t>
            </w:r>
          </w:p>
          <w:p w14:paraId="3BFD8D97">
            <w:pPr>
              <w:spacing w:before="13"/>
              <w:ind w:right="-20"/>
              <w:jc w:val="left"/>
              <w:rPr>
                <w:rFonts w:hint="eastAsia" w:ascii="宋体" w:hAnsi="宋体" w:cs="宋体"/>
                <w:spacing w:val="-2"/>
                <w:szCs w:val="21"/>
              </w:rPr>
            </w:pPr>
            <w:r>
              <w:rPr>
                <w:rFonts w:hint="eastAsia" w:ascii="宋体" w:hAnsi="宋体" w:cs="宋体"/>
                <w:spacing w:val="-2"/>
                <w:szCs w:val="21"/>
              </w:rPr>
              <w:t>2.建立健全卫生档案；</w:t>
            </w:r>
          </w:p>
          <w:p w14:paraId="092DACA8">
            <w:pPr>
              <w:spacing w:before="13"/>
              <w:ind w:right="-20"/>
              <w:jc w:val="left"/>
              <w:rPr>
                <w:rFonts w:hint="eastAsia" w:ascii="宋体" w:hAnsi="宋体" w:cs="宋体"/>
                <w:spacing w:val="-2"/>
                <w:szCs w:val="21"/>
              </w:rPr>
            </w:pPr>
            <w:r>
              <w:rPr>
                <w:rFonts w:hint="eastAsia" w:ascii="宋体" w:hAnsi="宋体" w:cs="宋体"/>
                <w:spacing w:val="-2"/>
                <w:szCs w:val="21"/>
              </w:rPr>
              <w:t>3.开展职业病体检和普检；</w:t>
            </w:r>
          </w:p>
          <w:p w14:paraId="3845517E">
            <w:pPr>
              <w:spacing w:before="13"/>
              <w:ind w:right="-20"/>
              <w:jc w:val="left"/>
              <w:rPr>
                <w:rFonts w:hint="eastAsia" w:ascii="宋体" w:hAnsi="宋体" w:cs="宋体"/>
                <w:spacing w:val="-2"/>
                <w:szCs w:val="21"/>
              </w:rPr>
            </w:pPr>
            <w:r>
              <w:rPr>
                <w:rFonts w:hint="eastAsia" w:ascii="宋体" w:hAnsi="宋体" w:cs="宋体"/>
                <w:spacing w:val="-2"/>
                <w:szCs w:val="21"/>
              </w:rPr>
              <w:t>4.车间工业卫生监测。</w:t>
            </w:r>
          </w:p>
        </w:tc>
      </w:tr>
      <w:tr w14:paraId="4E1F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17" w:type="pct"/>
            <w:tcMar>
              <w:left w:w="28" w:type="dxa"/>
              <w:right w:w="28" w:type="dxa"/>
            </w:tcMar>
            <w:vAlign w:val="center"/>
          </w:tcPr>
          <w:p w14:paraId="76255B04">
            <w:pPr>
              <w:ind w:right="63"/>
              <w:jc w:val="center"/>
              <w:rPr>
                <w:rFonts w:hint="eastAsia" w:ascii="宋体" w:hAnsi="宋体" w:cs="宋体"/>
                <w:spacing w:val="-2"/>
                <w:szCs w:val="21"/>
              </w:rPr>
            </w:pPr>
            <w:r>
              <w:rPr>
                <w:rFonts w:hint="eastAsia" w:ascii="宋体" w:hAnsi="宋体" w:cs="宋体"/>
                <w:spacing w:val="-2"/>
                <w:szCs w:val="21"/>
              </w:rPr>
              <w:t>安全生产</w:t>
            </w:r>
          </w:p>
        </w:tc>
        <w:tc>
          <w:tcPr>
            <w:tcW w:w="830" w:type="pct"/>
            <w:tcMar>
              <w:left w:w="28" w:type="dxa"/>
              <w:right w:w="28" w:type="dxa"/>
            </w:tcMar>
            <w:vAlign w:val="center"/>
          </w:tcPr>
          <w:p w14:paraId="12218C56">
            <w:pPr>
              <w:ind w:right="63"/>
              <w:jc w:val="center"/>
              <w:rPr>
                <w:rFonts w:hint="eastAsia" w:ascii="宋体" w:hAnsi="宋体" w:cs="宋体"/>
                <w:spacing w:val="-2"/>
                <w:szCs w:val="21"/>
              </w:rPr>
            </w:pPr>
            <w:r>
              <w:rPr>
                <w:rFonts w:hint="eastAsia" w:ascii="宋体" w:hAnsi="宋体" w:cs="宋体"/>
                <w:spacing w:val="-2"/>
                <w:szCs w:val="21"/>
              </w:rPr>
              <w:t>机械伤害、搬运伤害、触电、火灾、中毒等，造成员工伤亡</w:t>
            </w:r>
          </w:p>
        </w:tc>
        <w:tc>
          <w:tcPr>
            <w:tcW w:w="1129" w:type="pct"/>
            <w:vAlign w:val="center"/>
          </w:tcPr>
          <w:p w14:paraId="2C1177AA">
            <w:pPr>
              <w:ind w:right="53"/>
              <w:jc w:val="center"/>
              <w:rPr>
                <w:rFonts w:hint="eastAsia" w:ascii="宋体" w:hAnsi="宋体" w:cs="宋体"/>
                <w:spacing w:val="-2"/>
                <w:szCs w:val="21"/>
              </w:rPr>
            </w:pPr>
            <w:r>
              <w:rPr>
                <w:rFonts w:hint="eastAsia" w:ascii="宋体" w:hAnsi="宋体" w:cs="宋体"/>
                <w:spacing w:val="-2"/>
                <w:szCs w:val="21"/>
              </w:rPr>
              <w:t>工亡、重伤、重大火灾为零；</w:t>
            </w:r>
          </w:p>
          <w:p w14:paraId="352885FB">
            <w:pPr>
              <w:ind w:right="53"/>
              <w:jc w:val="center"/>
              <w:rPr>
                <w:rFonts w:hint="eastAsia" w:ascii="宋体" w:hAnsi="宋体" w:cs="宋体"/>
                <w:spacing w:val="-2"/>
                <w:szCs w:val="21"/>
              </w:rPr>
            </w:pPr>
            <w:r>
              <w:rPr>
                <w:rFonts w:hint="eastAsia" w:ascii="宋体" w:hAnsi="宋体" w:cs="宋体"/>
                <w:spacing w:val="-2"/>
                <w:szCs w:val="21"/>
              </w:rPr>
              <w:t>一般轻伤≤3%</w:t>
            </w:r>
          </w:p>
        </w:tc>
        <w:tc>
          <w:tcPr>
            <w:tcW w:w="903" w:type="pct"/>
            <w:vAlign w:val="center"/>
          </w:tcPr>
          <w:p w14:paraId="6EA8C420">
            <w:pPr>
              <w:ind w:right="191"/>
              <w:jc w:val="center"/>
              <w:rPr>
                <w:rFonts w:hint="eastAsia" w:ascii="宋体" w:hAnsi="宋体" w:cs="宋体"/>
                <w:spacing w:val="-2"/>
                <w:szCs w:val="21"/>
              </w:rPr>
            </w:pPr>
            <w:r>
              <w:rPr>
                <w:rFonts w:hint="eastAsia" w:ascii="宋体" w:hAnsi="宋体" w:cs="宋体"/>
                <w:spacing w:val="-2"/>
                <w:szCs w:val="21"/>
              </w:rPr>
              <w:t>安全性评价定期检查</w:t>
            </w:r>
          </w:p>
        </w:tc>
        <w:tc>
          <w:tcPr>
            <w:tcW w:w="1520" w:type="pct"/>
            <w:tcMar>
              <w:left w:w="28" w:type="dxa"/>
              <w:right w:w="28" w:type="dxa"/>
            </w:tcMar>
            <w:vAlign w:val="center"/>
          </w:tcPr>
          <w:p w14:paraId="5B78E693">
            <w:pPr>
              <w:ind w:right="-20"/>
              <w:jc w:val="left"/>
              <w:rPr>
                <w:rFonts w:hint="eastAsia" w:ascii="宋体" w:hAnsi="宋体" w:cs="宋体"/>
                <w:spacing w:val="-2"/>
                <w:szCs w:val="21"/>
              </w:rPr>
            </w:pPr>
            <w:r>
              <w:rPr>
                <w:rFonts w:hint="eastAsia" w:ascii="宋体" w:hAnsi="宋体" w:cs="宋体"/>
                <w:spacing w:val="-2"/>
                <w:szCs w:val="21"/>
              </w:rPr>
              <w:t>1.配备消防设施；</w:t>
            </w:r>
          </w:p>
          <w:p w14:paraId="4832856C">
            <w:pPr>
              <w:spacing w:before="13"/>
              <w:ind w:right="-20"/>
              <w:jc w:val="left"/>
              <w:rPr>
                <w:rFonts w:hint="eastAsia" w:ascii="宋体" w:hAnsi="宋体" w:cs="宋体"/>
                <w:spacing w:val="-2"/>
                <w:szCs w:val="21"/>
              </w:rPr>
            </w:pPr>
            <w:r>
              <w:rPr>
                <w:rFonts w:hint="eastAsia" w:ascii="宋体" w:hAnsi="宋体" w:cs="宋体"/>
                <w:spacing w:val="-2"/>
                <w:szCs w:val="21"/>
              </w:rPr>
              <w:t>2.执行安全“三同时”；</w:t>
            </w:r>
          </w:p>
          <w:p w14:paraId="553548EA">
            <w:pPr>
              <w:spacing w:before="13"/>
              <w:ind w:right="-20"/>
              <w:jc w:val="left"/>
              <w:rPr>
                <w:rFonts w:hint="eastAsia" w:ascii="宋体" w:hAnsi="宋体" w:cs="宋体"/>
                <w:spacing w:val="-2"/>
                <w:szCs w:val="21"/>
              </w:rPr>
            </w:pPr>
            <w:r>
              <w:rPr>
                <w:rFonts w:hint="eastAsia" w:ascii="宋体" w:hAnsi="宋体" w:cs="宋体"/>
                <w:spacing w:val="-2"/>
                <w:szCs w:val="21"/>
              </w:rPr>
              <w:t>3.签订安全管理责任状；</w:t>
            </w:r>
          </w:p>
          <w:p w14:paraId="783B1A30">
            <w:pPr>
              <w:ind w:right="23"/>
              <w:jc w:val="left"/>
              <w:rPr>
                <w:rFonts w:hint="eastAsia" w:ascii="宋体" w:hAnsi="宋体" w:cs="宋体"/>
                <w:spacing w:val="-2"/>
                <w:szCs w:val="21"/>
              </w:rPr>
            </w:pPr>
            <w:r>
              <w:rPr>
                <w:rFonts w:hint="eastAsia" w:ascii="宋体" w:hAnsi="宋体" w:cs="宋体"/>
                <w:spacing w:val="-2"/>
                <w:szCs w:val="21"/>
              </w:rPr>
              <w:t>4.健全危险源识别，建立公司到班组的三级安全检查机制；</w:t>
            </w:r>
          </w:p>
          <w:p w14:paraId="0E6893D5">
            <w:pPr>
              <w:spacing w:before="6"/>
              <w:ind w:right="-20"/>
              <w:jc w:val="left"/>
              <w:rPr>
                <w:rFonts w:hint="eastAsia" w:ascii="宋体" w:hAnsi="宋体" w:cs="宋体"/>
                <w:spacing w:val="-2"/>
                <w:szCs w:val="21"/>
              </w:rPr>
            </w:pPr>
            <w:r>
              <w:rPr>
                <w:rFonts w:hint="eastAsia" w:ascii="宋体" w:hAnsi="宋体" w:cs="宋体"/>
                <w:spacing w:val="-2"/>
                <w:szCs w:val="21"/>
              </w:rPr>
              <w:t>5.车间推行5S管理；</w:t>
            </w:r>
          </w:p>
          <w:p w14:paraId="5CFC1789">
            <w:pPr>
              <w:spacing w:before="13"/>
              <w:ind w:right="-20"/>
              <w:jc w:val="left"/>
              <w:rPr>
                <w:rFonts w:hint="eastAsia" w:ascii="宋体" w:hAnsi="宋体" w:cs="宋体"/>
                <w:spacing w:val="-2"/>
                <w:szCs w:val="21"/>
              </w:rPr>
            </w:pPr>
            <w:r>
              <w:rPr>
                <w:rFonts w:hint="eastAsia" w:ascii="宋体" w:hAnsi="宋体" w:cs="宋体"/>
                <w:spacing w:val="-2"/>
                <w:szCs w:val="21"/>
              </w:rPr>
              <w:t>6.强化安全生产应急演练。</w:t>
            </w:r>
          </w:p>
        </w:tc>
      </w:tr>
    </w:tbl>
    <w:p w14:paraId="36567305">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政府、民众和相关方对产品安全、环境保护、安全生产的关注度日益提高，为消除外界对公司这方面的隐忧，公司积极做好应对准备。通过上述关注度的分析，公司确定了环境保护和安全生产隐患预案。</w:t>
      </w:r>
    </w:p>
    <w:p w14:paraId="2D8760BB">
      <w:pPr>
        <w:adjustRightInd w:val="0"/>
        <w:snapToGrid w:val="0"/>
        <w:jc w:val="center"/>
        <w:rPr>
          <w:rFonts w:hint="eastAsia" w:ascii="宋体" w:hAnsi="宋体" w:eastAsia="宋体" w:cs="宋体"/>
          <w:b/>
          <w:sz w:val="24"/>
          <w:szCs w:val="28"/>
        </w:rPr>
      </w:pPr>
      <w:r>
        <w:rPr>
          <w:rFonts w:hint="eastAsia" w:ascii="宋体" w:hAnsi="宋体" w:eastAsia="宋体" w:cs="宋体"/>
          <w:b/>
          <w:sz w:val="24"/>
          <w:szCs w:val="28"/>
        </w:rPr>
        <w:t>表5</w:t>
      </w:r>
      <w:r>
        <w:rPr>
          <w:rFonts w:ascii="宋体" w:hAnsi="宋体" w:eastAsia="宋体" w:cs="宋体"/>
          <w:b/>
          <w:sz w:val="24"/>
          <w:szCs w:val="28"/>
        </w:rPr>
        <w:t xml:space="preserve"> </w:t>
      </w:r>
      <w:r>
        <w:rPr>
          <w:rFonts w:hint="eastAsia" w:ascii="宋体" w:hAnsi="宋体" w:eastAsia="宋体" w:cs="宋体"/>
          <w:b/>
          <w:sz w:val="24"/>
          <w:szCs w:val="28"/>
        </w:rPr>
        <w:t>隐忧预见与应对</w:t>
      </w:r>
    </w:p>
    <w:tbl>
      <w:tblPr>
        <w:tblStyle w:val="1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01"/>
        <w:gridCol w:w="6341"/>
      </w:tblGrid>
      <w:tr w14:paraId="735E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8" w:type="dxa"/>
            <w:shd w:val="clear" w:color="auto" w:fill="538135"/>
            <w:vAlign w:val="center"/>
          </w:tcPr>
          <w:p w14:paraId="3D96BE93">
            <w:pPr>
              <w:adjustRightInd w:val="0"/>
              <w:snapToGrid w:val="0"/>
              <w:jc w:val="center"/>
              <w:rPr>
                <w:rFonts w:hint="eastAsia" w:ascii="宋体" w:hAnsi="宋体" w:eastAsia="宋体" w:cs="Times New Roman"/>
                <w:b/>
                <w:bCs/>
                <w:snapToGrid w:val="0"/>
                <w:color w:val="FFFFFF"/>
                <w:sz w:val="24"/>
              </w:rPr>
            </w:pPr>
            <w:r>
              <w:rPr>
                <w:rFonts w:hint="eastAsia" w:ascii="宋体" w:hAnsi="宋体" w:eastAsia="宋体" w:cs="宋体"/>
                <w:b/>
                <w:bCs/>
                <w:snapToGrid w:val="0"/>
                <w:color w:val="FFFFFF"/>
                <w:sz w:val="24"/>
              </w:rPr>
              <w:t>隐忧类别</w:t>
            </w:r>
          </w:p>
        </w:tc>
        <w:tc>
          <w:tcPr>
            <w:tcW w:w="1901" w:type="dxa"/>
            <w:shd w:val="clear" w:color="auto" w:fill="538135"/>
            <w:vAlign w:val="center"/>
          </w:tcPr>
          <w:p w14:paraId="5B19E2AB">
            <w:pPr>
              <w:adjustRightInd w:val="0"/>
              <w:snapToGrid w:val="0"/>
              <w:jc w:val="center"/>
              <w:rPr>
                <w:rFonts w:hint="eastAsia" w:ascii="宋体" w:hAnsi="宋体" w:eastAsia="宋体" w:cs="Times New Roman"/>
                <w:b/>
                <w:bCs/>
                <w:color w:val="FFFFFF"/>
                <w:sz w:val="24"/>
              </w:rPr>
            </w:pPr>
            <w:r>
              <w:rPr>
                <w:rFonts w:hint="eastAsia" w:ascii="宋体" w:hAnsi="宋体" w:eastAsia="宋体" w:cs="宋体"/>
                <w:b/>
                <w:bCs/>
                <w:color w:val="FFFFFF"/>
                <w:sz w:val="24"/>
              </w:rPr>
              <w:t>公众隐忧</w:t>
            </w:r>
          </w:p>
        </w:tc>
        <w:tc>
          <w:tcPr>
            <w:tcW w:w="6341" w:type="dxa"/>
            <w:shd w:val="clear" w:color="auto" w:fill="538135"/>
            <w:vAlign w:val="center"/>
          </w:tcPr>
          <w:p w14:paraId="0B19AF16">
            <w:pPr>
              <w:adjustRightInd w:val="0"/>
              <w:snapToGrid w:val="0"/>
              <w:jc w:val="center"/>
              <w:rPr>
                <w:rFonts w:hint="eastAsia" w:ascii="宋体" w:hAnsi="宋体" w:eastAsia="宋体" w:cs="Times New Roman"/>
                <w:b/>
                <w:bCs/>
                <w:snapToGrid w:val="0"/>
                <w:color w:val="FFFFFF"/>
                <w:sz w:val="24"/>
              </w:rPr>
            </w:pPr>
            <w:r>
              <w:rPr>
                <w:rFonts w:hint="eastAsia" w:ascii="宋体" w:hAnsi="宋体" w:eastAsia="宋体" w:cs="宋体"/>
                <w:b/>
                <w:bCs/>
                <w:snapToGrid w:val="0"/>
                <w:color w:val="FFFFFF"/>
                <w:sz w:val="24"/>
              </w:rPr>
              <w:t>应对措施</w:t>
            </w:r>
          </w:p>
        </w:tc>
      </w:tr>
      <w:tr w14:paraId="7EFC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328" w:type="dxa"/>
            <w:vMerge w:val="restart"/>
            <w:vAlign w:val="center"/>
          </w:tcPr>
          <w:p w14:paraId="11421372">
            <w:pPr>
              <w:adjustRightInd w:val="0"/>
              <w:snapToGrid w:val="0"/>
              <w:jc w:val="center"/>
              <w:rPr>
                <w:rFonts w:hint="eastAsia" w:ascii="宋体" w:hAnsi="宋体" w:eastAsia="宋体" w:cs="Times New Roman"/>
                <w:snapToGrid w:val="0"/>
                <w:szCs w:val="22"/>
              </w:rPr>
            </w:pPr>
            <w:r>
              <w:rPr>
                <w:rFonts w:hint="eastAsia" w:ascii="宋体" w:hAnsi="宋体" w:eastAsia="宋体" w:cs="宋体"/>
                <w:snapToGrid w:val="0"/>
                <w:szCs w:val="22"/>
              </w:rPr>
              <w:t>环境保护</w:t>
            </w:r>
          </w:p>
        </w:tc>
        <w:tc>
          <w:tcPr>
            <w:tcW w:w="1901" w:type="dxa"/>
            <w:vAlign w:val="center"/>
          </w:tcPr>
          <w:p w14:paraId="2EF0B8E2">
            <w:pPr>
              <w:adjustRightInd w:val="0"/>
              <w:snapToGrid w:val="0"/>
              <w:jc w:val="center"/>
              <w:rPr>
                <w:rFonts w:hint="eastAsia" w:ascii="宋体" w:hAnsi="宋体" w:eastAsia="宋体" w:cs="Times New Roman"/>
                <w:snapToGrid w:val="0"/>
                <w:szCs w:val="22"/>
              </w:rPr>
            </w:pPr>
            <w:r>
              <w:rPr>
                <w:rFonts w:hint="eastAsia" w:ascii="宋体" w:hAnsi="宋体" w:eastAsia="宋体" w:cs="宋体"/>
                <w:snapToGrid w:val="0"/>
                <w:szCs w:val="22"/>
              </w:rPr>
              <w:t>废水</w:t>
            </w:r>
          </w:p>
        </w:tc>
        <w:tc>
          <w:tcPr>
            <w:tcW w:w="6341" w:type="dxa"/>
            <w:vAlign w:val="center"/>
          </w:tcPr>
          <w:p w14:paraId="63F17FFB">
            <w:pPr>
              <w:widowControl/>
              <w:numPr>
                <w:ilvl w:val="0"/>
                <w:numId w:val="1"/>
              </w:numPr>
              <w:jc w:val="left"/>
              <w:rPr>
                <w:rFonts w:hint="eastAsia" w:ascii="宋体" w:hAnsi="宋体" w:eastAsia="宋体" w:cs="宋体"/>
                <w:spacing w:val="-2"/>
                <w:szCs w:val="21"/>
              </w:rPr>
            </w:pPr>
            <w:r>
              <w:rPr>
                <w:rFonts w:hint="eastAsia" w:ascii="宋体" w:hAnsi="宋体" w:eastAsia="宋体" w:cs="宋体"/>
                <w:spacing w:val="-2"/>
                <w:szCs w:val="21"/>
              </w:rPr>
              <w:t>定期检查以确保水循环设施、设备的完好程度；</w:t>
            </w:r>
          </w:p>
          <w:p w14:paraId="42C79DC5">
            <w:pPr>
              <w:widowControl/>
              <w:numPr>
                <w:ilvl w:val="0"/>
                <w:numId w:val="1"/>
              </w:numPr>
              <w:jc w:val="left"/>
              <w:rPr>
                <w:rFonts w:hint="eastAsia" w:ascii="宋体" w:hAnsi="宋体" w:eastAsia="宋体" w:cs="宋体"/>
                <w:snapToGrid w:val="0"/>
                <w:spacing w:val="-2"/>
                <w:szCs w:val="21"/>
              </w:rPr>
            </w:pPr>
            <w:r>
              <w:rPr>
                <w:rFonts w:hint="eastAsia" w:ascii="宋体" w:hAnsi="宋体" w:eastAsia="宋体" w:cs="宋体"/>
                <w:spacing w:val="-2"/>
                <w:szCs w:val="21"/>
              </w:rPr>
              <w:t>获取最新污水排放和控制要求，了解公司周边区域相关方废水的排放要求。</w:t>
            </w:r>
          </w:p>
        </w:tc>
      </w:tr>
      <w:tr w14:paraId="0D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328" w:type="dxa"/>
            <w:vMerge w:val="continue"/>
            <w:vAlign w:val="center"/>
          </w:tcPr>
          <w:p w14:paraId="337D981E">
            <w:pPr>
              <w:adjustRightInd w:val="0"/>
              <w:snapToGrid w:val="0"/>
              <w:jc w:val="center"/>
              <w:rPr>
                <w:rFonts w:hint="eastAsia" w:ascii="宋体" w:hAnsi="宋体" w:eastAsia="宋体" w:cs="宋体"/>
                <w:snapToGrid w:val="0"/>
                <w:szCs w:val="22"/>
              </w:rPr>
            </w:pPr>
          </w:p>
        </w:tc>
        <w:tc>
          <w:tcPr>
            <w:tcW w:w="1901" w:type="dxa"/>
            <w:vAlign w:val="center"/>
          </w:tcPr>
          <w:p w14:paraId="744197ED">
            <w:pPr>
              <w:adjustRightInd w:val="0"/>
              <w:snapToGrid w:val="0"/>
              <w:jc w:val="center"/>
              <w:rPr>
                <w:rFonts w:hint="eastAsia" w:ascii="宋体" w:hAnsi="宋体" w:eastAsia="宋体" w:cs="宋体"/>
                <w:snapToGrid w:val="0"/>
                <w:szCs w:val="22"/>
              </w:rPr>
            </w:pPr>
            <w:r>
              <w:rPr>
                <w:rFonts w:hint="eastAsia" w:ascii="宋体" w:hAnsi="宋体" w:eastAsia="宋体" w:cs="宋体"/>
                <w:snapToGrid w:val="0"/>
                <w:szCs w:val="22"/>
              </w:rPr>
              <w:t>废气</w:t>
            </w:r>
          </w:p>
        </w:tc>
        <w:tc>
          <w:tcPr>
            <w:tcW w:w="6341" w:type="dxa"/>
            <w:vAlign w:val="center"/>
          </w:tcPr>
          <w:p w14:paraId="136E67EB">
            <w:pPr>
              <w:widowControl/>
              <w:numPr>
                <w:ilvl w:val="0"/>
                <w:numId w:val="1"/>
              </w:numPr>
              <w:jc w:val="left"/>
              <w:rPr>
                <w:rFonts w:hint="eastAsia" w:ascii="宋体" w:hAnsi="宋体" w:eastAsia="宋体" w:cs="宋体"/>
                <w:spacing w:val="-2"/>
                <w:szCs w:val="21"/>
              </w:rPr>
            </w:pPr>
            <w:r>
              <w:rPr>
                <w:rFonts w:hint="eastAsia" w:ascii="宋体" w:hAnsi="宋体" w:eastAsia="宋体" w:cs="宋体"/>
                <w:spacing w:val="-2"/>
                <w:szCs w:val="21"/>
              </w:rPr>
              <w:t>获取最新废气排放和控制要求，了解公司周边区域相关方废气的排放要求。</w:t>
            </w:r>
          </w:p>
        </w:tc>
      </w:tr>
      <w:tr w14:paraId="7928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328" w:type="dxa"/>
            <w:vAlign w:val="center"/>
          </w:tcPr>
          <w:p w14:paraId="38F38A80">
            <w:pPr>
              <w:adjustRightInd w:val="0"/>
              <w:snapToGrid w:val="0"/>
              <w:jc w:val="center"/>
              <w:rPr>
                <w:rFonts w:hint="eastAsia" w:ascii="宋体" w:hAnsi="宋体" w:eastAsia="宋体" w:cs="Times New Roman"/>
                <w:szCs w:val="22"/>
              </w:rPr>
            </w:pPr>
            <w:r>
              <w:rPr>
                <w:rFonts w:hint="eastAsia" w:ascii="宋体" w:hAnsi="宋体" w:eastAsia="宋体" w:cs="宋体"/>
                <w:szCs w:val="22"/>
              </w:rPr>
              <w:t>安全生产</w:t>
            </w:r>
          </w:p>
        </w:tc>
        <w:tc>
          <w:tcPr>
            <w:tcW w:w="1901" w:type="dxa"/>
            <w:vAlign w:val="center"/>
          </w:tcPr>
          <w:p w14:paraId="72151B33">
            <w:pPr>
              <w:adjustRightInd w:val="0"/>
              <w:snapToGrid w:val="0"/>
              <w:jc w:val="center"/>
              <w:rPr>
                <w:rFonts w:hint="eastAsia" w:ascii="宋体" w:hAnsi="宋体" w:eastAsia="宋体" w:cs="Times New Roman"/>
                <w:snapToGrid w:val="0"/>
                <w:szCs w:val="22"/>
              </w:rPr>
            </w:pPr>
            <w:r>
              <w:rPr>
                <w:rFonts w:hint="eastAsia" w:ascii="宋体" w:hAnsi="宋体" w:eastAsia="宋体" w:cs="宋体"/>
                <w:snapToGrid w:val="0"/>
                <w:szCs w:val="22"/>
              </w:rPr>
              <w:t>杜绝安全事故，预防职业病发生、火灾等</w:t>
            </w:r>
          </w:p>
        </w:tc>
        <w:tc>
          <w:tcPr>
            <w:tcW w:w="6341" w:type="dxa"/>
            <w:vAlign w:val="center"/>
          </w:tcPr>
          <w:p w14:paraId="2EC17767">
            <w:pPr>
              <w:widowControl/>
              <w:numPr>
                <w:ilvl w:val="0"/>
                <w:numId w:val="2"/>
              </w:numPr>
              <w:jc w:val="left"/>
              <w:rPr>
                <w:rFonts w:hint="eastAsia" w:ascii="宋体" w:hAnsi="宋体" w:eastAsia="宋体" w:cs="Times New Roman"/>
                <w:snapToGrid w:val="0"/>
                <w:szCs w:val="21"/>
              </w:rPr>
            </w:pPr>
            <w:r>
              <w:rPr>
                <w:rFonts w:hint="eastAsia" w:ascii="宋体" w:hAnsi="宋体" w:eastAsia="宋体" w:cs="宋体"/>
                <w:snapToGrid w:val="0"/>
                <w:szCs w:val="21"/>
              </w:rPr>
              <w:t>按规定周期进行检查</w:t>
            </w:r>
          </w:p>
          <w:p w14:paraId="4F0E7845">
            <w:pPr>
              <w:widowControl/>
              <w:numPr>
                <w:ilvl w:val="0"/>
                <w:numId w:val="2"/>
              </w:numPr>
              <w:jc w:val="left"/>
              <w:rPr>
                <w:rFonts w:hint="eastAsia" w:ascii="宋体" w:hAnsi="宋体" w:eastAsia="宋体" w:cs="Times New Roman"/>
                <w:snapToGrid w:val="0"/>
                <w:szCs w:val="21"/>
              </w:rPr>
            </w:pPr>
            <w:r>
              <w:rPr>
                <w:rFonts w:hint="eastAsia" w:ascii="宋体" w:hAnsi="宋体" w:eastAsia="宋体" w:cs="宋体"/>
                <w:snapToGrid w:val="0"/>
                <w:szCs w:val="21"/>
              </w:rPr>
              <w:t>制定应急预案</w:t>
            </w:r>
          </w:p>
        </w:tc>
      </w:tr>
    </w:tbl>
    <w:p w14:paraId="2B1AF031">
      <w:pPr>
        <w:spacing w:line="360" w:lineRule="auto"/>
        <w:ind w:firstLine="482" w:firstLineChars="200"/>
        <w:rPr>
          <w:rFonts w:hint="eastAsia" w:ascii="宋体" w:hAnsi="宋体" w:eastAsia="宋体" w:cs="黑体"/>
          <w:b/>
          <w:sz w:val="24"/>
          <w:szCs w:val="28"/>
        </w:rPr>
      </w:pPr>
      <w:r>
        <w:rPr>
          <w:rFonts w:hint="eastAsia" w:ascii="宋体" w:hAnsi="宋体" w:eastAsia="宋体" w:cs="黑体"/>
          <w:b/>
          <w:sz w:val="24"/>
          <w:szCs w:val="28"/>
        </w:rPr>
        <w:t>（2）企业道德责任</w:t>
      </w:r>
    </w:p>
    <w:p w14:paraId="437D4086">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为确保所有开展的各项生产经营业务符合诚信准则、道德规范，建立起较为完善的道德约束指标，确立用于监测组织内部、与主要合作伙伴之间，以及组织的治理中行为道德的主要过程及测量方法和指标，制定和履行公司合同管理、廉洁自律等方面严格的诚信、道德规范。</w:t>
      </w:r>
    </w:p>
    <w:p w14:paraId="37211B6A">
      <w:pPr>
        <w:adjustRightInd w:val="0"/>
        <w:snapToGrid w:val="0"/>
        <w:jc w:val="center"/>
        <w:rPr>
          <w:rFonts w:hint="eastAsia" w:ascii="宋体" w:hAnsi="宋体" w:eastAsia="宋体" w:cs="宋体"/>
          <w:b/>
          <w:sz w:val="24"/>
          <w:szCs w:val="28"/>
        </w:rPr>
      </w:pPr>
      <w:r>
        <w:rPr>
          <w:rFonts w:hint="eastAsia" w:ascii="宋体" w:hAnsi="宋体" w:eastAsia="宋体" w:cs="宋体"/>
          <w:b/>
          <w:sz w:val="24"/>
          <w:szCs w:val="28"/>
        </w:rPr>
        <w:t>表6</w:t>
      </w:r>
      <w:r>
        <w:rPr>
          <w:rFonts w:ascii="宋体" w:hAnsi="宋体" w:eastAsia="宋体" w:cs="宋体"/>
          <w:b/>
          <w:sz w:val="24"/>
          <w:szCs w:val="28"/>
        </w:rPr>
        <w:t xml:space="preserve"> 公司</w:t>
      </w:r>
      <w:r>
        <w:rPr>
          <w:rFonts w:hint="eastAsia" w:ascii="宋体" w:hAnsi="宋体" w:eastAsia="宋体" w:cs="宋体"/>
          <w:b/>
          <w:sz w:val="24"/>
          <w:szCs w:val="28"/>
        </w:rPr>
        <w:t>道德行为控制</w:t>
      </w:r>
    </w:p>
    <w:tbl>
      <w:tblPr>
        <w:tblStyle w:val="1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02"/>
        <w:gridCol w:w="3116"/>
        <w:gridCol w:w="3261"/>
        <w:gridCol w:w="2091"/>
      </w:tblGrid>
      <w:tr w14:paraId="0AC70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tblHeader/>
          <w:jc w:val="center"/>
        </w:trPr>
        <w:tc>
          <w:tcPr>
            <w:tcW w:w="576" w:type="pct"/>
            <w:shd w:val="clear" w:color="auto" w:fill="538135"/>
            <w:vAlign w:val="center"/>
          </w:tcPr>
          <w:p w14:paraId="0C2576F8">
            <w:pPr>
              <w:spacing w:line="0" w:lineRule="atLeast"/>
              <w:jc w:val="center"/>
              <w:rPr>
                <w:rFonts w:hint="eastAsia" w:ascii="宋体" w:hAnsi="宋体" w:eastAsia="宋体" w:cs="Times New Roman"/>
                <w:b/>
                <w:color w:val="FFFFFF"/>
                <w:sz w:val="24"/>
                <w:szCs w:val="21"/>
              </w:rPr>
            </w:pPr>
            <w:r>
              <w:rPr>
                <w:rFonts w:ascii="宋体" w:hAnsi="宋体" w:eastAsia="宋体" w:cs="Times New Roman"/>
                <w:b/>
                <w:color w:val="FFFFFF"/>
                <w:sz w:val="24"/>
                <w:szCs w:val="21"/>
              </w:rPr>
              <w:t>相关方</w:t>
            </w:r>
          </w:p>
        </w:tc>
        <w:tc>
          <w:tcPr>
            <w:tcW w:w="1628" w:type="pct"/>
            <w:shd w:val="clear" w:color="auto" w:fill="538135"/>
            <w:vAlign w:val="center"/>
          </w:tcPr>
          <w:p w14:paraId="1451CA2F">
            <w:pPr>
              <w:spacing w:line="0" w:lineRule="atLeast"/>
              <w:jc w:val="center"/>
              <w:rPr>
                <w:rFonts w:hint="eastAsia" w:ascii="宋体" w:hAnsi="宋体" w:eastAsia="宋体" w:cs="Times New Roman"/>
                <w:b/>
                <w:color w:val="FFFFFF"/>
                <w:sz w:val="24"/>
                <w:szCs w:val="21"/>
              </w:rPr>
            </w:pPr>
            <w:r>
              <w:rPr>
                <w:rFonts w:ascii="宋体" w:hAnsi="宋体" w:eastAsia="宋体" w:cs="Times New Roman"/>
                <w:b/>
                <w:color w:val="FFFFFF"/>
                <w:sz w:val="24"/>
                <w:szCs w:val="21"/>
              </w:rPr>
              <w:t>检测要求</w:t>
            </w:r>
          </w:p>
        </w:tc>
        <w:tc>
          <w:tcPr>
            <w:tcW w:w="1704" w:type="pct"/>
            <w:shd w:val="clear" w:color="auto" w:fill="538135"/>
            <w:vAlign w:val="center"/>
          </w:tcPr>
          <w:p w14:paraId="20C6287F">
            <w:pPr>
              <w:spacing w:line="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监测过程</w:t>
            </w:r>
          </w:p>
        </w:tc>
        <w:tc>
          <w:tcPr>
            <w:tcW w:w="1092" w:type="pct"/>
            <w:shd w:val="clear" w:color="auto" w:fill="538135"/>
            <w:vAlign w:val="center"/>
          </w:tcPr>
          <w:p w14:paraId="6D0C452F">
            <w:pPr>
              <w:spacing w:line="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测量方法/指标</w:t>
            </w:r>
          </w:p>
        </w:tc>
      </w:tr>
      <w:tr w14:paraId="24DAC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576" w:type="pct"/>
            <w:vAlign w:val="center"/>
          </w:tcPr>
          <w:p w14:paraId="114A3BED">
            <w:pPr>
              <w:spacing w:line="0" w:lineRule="atLeast"/>
              <w:jc w:val="center"/>
              <w:rPr>
                <w:rFonts w:hint="eastAsia" w:ascii="宋体" w:hAnsi="宋体" w:eastAsia="宋体" w:cs="Times New Roman"/>
                <w:b/>
                <w:szCs w:val="21"/>
              </w:rPr>
            </w:pPr>
            <w:bookmarkStart w:id="29" w:name="_Hlk275607554"/>
            <w:r>
              <w:rPr>
                <w:rFonts w:ascii="宋体" w:hAnsi="宋体" w:eastAsia="宋体" w:cs="Times New Roman"/>
                <w:b/>
                <w:szCs w:val="21"/>
              </w:rPr>
              <w:t>顾客</w:t>
            </w:r>
          </w:p>
        </w:tc>
        <w:tc>
          <w:tcPr>
            <w:tcW w:w="1628" w:type="pct"/>
            <w:vAlign w:val="center"/>
          </w:tcPr>
          <w:p w14:paraId="67E9A9CB">
            <w:pPr>
              <w:spacing w:line="0" w:lineRule="atLeast"/>
              <w:jc w:val="center"/>
              <w:rPr>
                <w:rFonts w:hint="eastAsia" w:ascii="宋体" w:hAnsi="宋体" w:eastAsia="宋体" w:cs="Times New Roman"/>
                <w:szCs w:val="21"/>
              </w:rPr>
            </w:pPr>
            <w:r>
              <w:rPr>
                <w:rFonts w:ascii="宋体" w:hAnsi="宋体" w:eastAsia="宋体" w:cs="Times New Roman"/>
                <w:szCs w:val="21"/>
              </w:rPr>
              <w:t>信守合同、遵守法律法规</w:t>
            </w:r>
          </w:p>
        </w:tc>
        <w:tc>
          <w:tcPr>
            <w:tcW w:w="1704" w:type="pct"/>
            <w:vAlign w:val="center"/>
          </w:tcPr>
          <w:p w14:paraId="0A23C184">
            <w:pPr>
              <w:spacing w:line="0" w:lineRule="atLeast"/>
              <w:jc w:val="center"/>
              <w:rPr>
                <w:rFonts w:hint="eastAsia" w:ascii="宋体" w:hAnsi="宋体" w:eastAsia="宋体" w:cs="Times New Roman"/>
                <w:szCs w:val="21"/>
              </w:rPr>
            </w:pPr>
            <w:r>
              <w:rPr>
                <w:rFonts w:ascii="宋体" w:hAnsi="宋体" w:eastAsia="宋体" w:cs="Times New Roman"/>
                <w:szCs w:val="21"/>
              </w:rPr>
              <w:t>合同、审计监察、投诉</w:t>
            </w:r>
          </w:p>
        </w:tc>
        <w:tc>
          <w:tcPr>
            <w:tcW w:w="1092" w:type="pct"/>
            <w:vAlign w:val="center"/>
          </w:tcPr>
          <w:p w14:paraId="18C3A698">
            <w:pPr>
              <w:spacing w:line="0" w:lineRule="atLeast"/>
              <w:jc w:val="center"/>
              <w:rPr>
                <w:rFonts w:hint="eastAsia" w:ascii="宋体" w:hAnsi="宋体" w:eastAsia="宋体" w:cs="Times New Roman"/>
                <w:szCs w:val="21"/>
              </w:rPr>
            </w:pPr>
            <w:r>
              <w:rPr>
                <w:rFonts w:ascii="宋体" w:hAnsi="宋体" w:eastAsia="宋体" w:cs="Times New Roman"/>
                <w:szCs w:val="21"/>
              </w:rPr>
              <w:t>合同履约</w:t>
            </w:r>
          </w:p>
        </w:tc>
      </w:tr>
      <w:tr w14:paraId="00E49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76" w:type="pct"/>
            <w:vAlign w:val="center"/>
          </w:tcPr>
          <w:p w14:paraId="78FE9E93">
            <w:pPr>
              <w:spacing w:line="0" w:lineRule="atLeast"/>
              <w:jc w:val="center"/>
              <w:rPr>
                <w:rFonts w:hint="eastAsia" w:ascii="宋体" w:hAnsi="宋体" w:eastAsia="宋体" w:cs="Times New Roman"/>
                <w:b/>
                <w:szCs w:val="21"/>
              </w:rPr>
            </w:pPr>
            <w:r>
              <w:rPr>
                <w:rFonts w:ascii="宋体" w:hAnsi="宋体" w:eastAsia="宋体" w:cs="Times New Roman"/>
                <w:b/>
                <w:szCs w:val="21"/>
              </w:rPr>
              <w:t>供应商</w:t>
            </w:r>
          </w:p>
          <w:p w14:paraId="5B165C12">
            <w:pPr>
              <w:spacing w:line="0" w:lineRule="atLeast"/>
              <w:jc w:val="center"/>
              <w:rPr>
                <w:rFonts w:hint="eastAsia" w:ascii="宋体" w:hAnsi="宋体" w:eastAsia="宋体" w:cs="Times New Roman"/>
                <w:b/>
                <w:szCs w:val="21"/>
              </w:rPr>
            </w:pPr>
            <w:r>
              <w:rPr>
                <w:rFonts w:hint="eastAsia" w:ascii="宋体" w:hAnsi="宋体" w:eastAsia="宋体" w:cs="Times New Roman"/>
                <w:b/>
                <w:szCs w:val="21"/>
              </w:rPr>
              <w:t>合作伙伴</w:t>
            </w:r>
          </w:p>
        </w:tc>
        <w:tc>
          <w:tcPr>
            <w:tcW w:w="1628" w:type="pct"/>
            <w:vAlign w:val="center"/>
          </w:tcPr>
          <w:p w14:paraId="03D70352">
            <w:pPr>
              <w:spacing w:line="0" w:lineRule="atLeast"/>
              <w:jc w:val="center"/>
              <w:rPr>
                <w:rFonts w:hint="eastAsia" w:ascii="宋体" w:hAnsi="宋体" w:eastAsia="宋体" w:cs="Times New Roman"/>
                <w:szCs w:val="21"/>
              </w:rPr>
            </w:pPr>
            <w:r>
              <w:rPr>
                <w:rFonts w:ascii="宋体" w:hAnsi="宋体" w:eastAsia="宋体" w:cs="Times New Roman"/>
                <w:szCs w:val="21"/>
              </w:rPr>
              <w:t>诚实信用、顺畅沟通</w:t>
            </w:r>
          </w:p>
        </w:tc>
        <w:tc>
          <w:tcPr>
            <w:tcW w:w="1704" w:type="pct"/>
            <w:vAlign w:val="center"/>
          </w:tcPr>
          <w:p w14:paraId="6AA72007">
            <w:pPr>
              <w:spacing w:line="0" w:lineRule="atLeast"/>
              <w:jc w:val="center"/>
              <w:rPr>
                <w:rFonts w:hint="eastAsia" w:ascii="宋体" w:hAnsi="宋体" w:eastAsia="宋体" w:cs="Times New Roman"/>
                <w:szCs w:val="21"/>
              </w:rPr>
            </w:pPr>
            <w:r>
              <w:rPr>
                <w:rFonts w:ascii="宋体" w:hAnsi="宋体" w:eastAsia="宋体" w:cs="Times New Roman"/>
                <w:szCs w:val="21"/>
              </w:rPr>
              <w:t>合同、审计检测、评审</w:t>
            </w:r>
          </w:p>
        </w:tc>
        <w:tc>
          <w:tcPr>
            <w:tcW w:w="1092" w:type="pct"/>
            <w:vAlign w:val="center"/>
          </w:tcPr>
          <w:p w14:paraId="28849213">
            <w:pPr>
              <w:spacing w:line="0" w:lineRule="atLeast"/>
              <w:jc w:val="center"/>
              <w:rPr>
                <w:rFonts w:hint="eastAsia" w:ascii="宋体" w:hAnsi="宋体" w:eastAsia="宋体" w:cs="Times New Roman"/>
                <w:szCs w:val="21"/>
              </w:rPr>
            </w:pPr>
            <w:r>
              <w:rPr>
                <w:rFonts w:ascii="宋体" w:hAnsi="宋体" w:eastAsia="宋体" w:cs="Times New Roman"/>
                <w:szCs w:val="21"/>
              </w:rPr>
              <w:t>按合同履约、按时结算</w:t>
            </w:r>
          </w:p>
        </w:tc>
      </w:tr>
      <w:tr w14:paraId="1F982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76" w:type="pct"/>
            <w:vAlign w:val="center"/>
          </w:tcPr>
          <w:p w14:paraId="5D1EF0C3">
            <w:pPr>
              <w:widowControl/>
              <w:spacing w:line="0" w:lineRule="atLeast"/>
              <w:jc w:val="center"/>
              <w:rPr>
                <w:rFonts w:hint="eastAsia" w:ascii="宋体" w:hAnsi="宋体" w:eastAsia="宋体" w:cs="Times New Roman"/>
                <w:b/>
                <w:szCs w:val="21"/>
              </w:rPr>
            </w:pPr>
            <w:r>
              <w:rPr>
                <w:rFonts w:ascii="宋体" w:hAnsi="宋体" w:eastAsia="宋体" w:cs="Times New Roman"/>
                <w:b/>
                <w:szCs w:val="21"/>
              </w:rPr>
              <w:t>员工</w:t>
            </w:r>
          </w:p>
        </w:tc>
        <w:tc>
          <w:tcPr>
            <w:tcW w:w="1628" w:type="pct"/>
            <w:vAlign w:val="center"/>
          </w:tcPr>
          <w:p w14:paraId="07074B27">
            <w:pPr>
              <w:widowControl/>
              <w:spacing w:line="0" w:lineRule="atLeast"/>
              <w:jc w:val="center"/>
              <w:rPr>
                <w:rFonts w:hint="eastAsia" w:ascii="宋体" w:hAnsi="宋体" w:eastAsia="宋体" w:cs="Times New Roman"/>
                <w:szCs w:val="21"/>
              </w:rPr>
            </w:pPr>
            <w:r>
              <w:rPr>
                <w:rFonts w:ascii="宋体" w:hAnsi="宋体" w:eastAsia="宋体" w:cs="Times New Roman"/>
                <w:szCs w:val="21"/>
              </w:rPr>
              <w:t>符合“公平、光明”的行为规范</w:t>
            </w:r>
          </w:p>
        </w:tc>
        <w:tc>
          <w:tcPr>
            <w:tcW w:w="1704" w:type="pct"/>
            <w:vAlign w:val="center"/>
          </w:tcPr>
          <w:p w14:paraId="3DDABBBC">
            <w:pPr>
              <w:spacing w:line="0" w:lineRule="atLeast"/>
              <w:jc w:val="center"/>
              <w:rPr>
                <w:rFonts w:hint="eastAsia" w:ascii="宋体" w:hAnsi="宋体" w:eastAsia="宋体" w:cs="Times New Roman"/>
                <w:szCs w:val="21"/>
              </w:rPr>
            </w:pPr>
            <w:r>
              <w:rPr>
                <w:rFonts w:ascii="宋体" w:hAnsi="宋体" w:eastAsia="宋体" w:cs="Times New Roman"/>
                <w:szCs w:val="21"/>
              </w:rPr>
              <w:t>会议、管理评审、投诉、审计监察</w:t>
            </w:r>
          </w:p>
        </w:tc>
        <w:tc>
          <w:tcPr>
            <w:tcW w:w="1092" w:type="pct"/>
            <w:vAlign w:val="center"/>
          </w:tcPr>
          <w:p w14:paraId="0B60E75A">
            <w:pPr>
              <w:spacing w:line="0" w:lineRule="atLeast"/>
              <w:jc w:val="center"/>
              <w:rPr>
                <w:rFonts w:hint="eastAsia" w:ascii="宋体" w:hAnsi="宋体" w:eastAsia="宋体" w:cs="Times New Roman"/>
                <w:szCs w:val="21"/>
              </w:rPr>
            </w:pPr>
            <w:r>
              <w:rPr>
                <w:rFonts w:ascii="宋体" w:hAnsi="宋体" w:eastAsia="宋体" w:cs="Times New Roman"/>
                <w:szCs w:val="21"/>
              </w:rPr>
              <w:t>劳资纠纷、违法违纪</w:t>
            </w:r>
          </w:p>
        </w:tc>
      </w:tr>
      <w:tr w14:paraId="6DC5C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76" w:type="pct"/>
            <w:vAlign w:val="center"/>
          </w:tcPr>
          <w:p w14:paraId="2B70C079">
            <w:pPr>
              <w:widowControl/>
              <w:spacing w:line="0" w:lineRule="atLeast"/>
              <w:jc w:val="center"/>
              <w:rPr>
                <w:rFonts w:hint="eastAsia" w:ascii="宋体" w:hAnsi="宋体" w:eastAsia="宋体" w:cs="Times New Roman"/>
                <w:b/>
                <w:szCs w:val="21"/>
              </w:rPr>
            </w:pPr>
            <w:r>
              <w:rPr>
                <w:rFonts w:ascii="宋体" w:hAnsi="宋体" w:eastAsia="宋体" w:cs="Times New Roman"/>
                <w:b/>
                <w:szCs w:val="21"/>
              </w:rPr>
              <w:t>公司治理</w:t>
            </w:r>
          </w:p>
        </w:tc>
        <w:tc>
          <w:tcPr>
            <w:tcW w:w="1628" w:type="pct"/>
            <w:vAlign w:val="center"/>
          </w:tcPr>
          <w:p w14:paraId="1F94B7FA">
            <w:pPr>
              <w:widowControl/>
              <w:spacing w:line="0" w:lineRule="atLeast"/>
              <w:jc w:val="center"/>
              <w:rPr>
                <w:rFonts w:hint="eastAsia" w:ascii="宋体" w:hAnsi="宋体" w:eastAsia="宋体" w:cs="Times New Roman"/>
                <w:szCs w:val="21"/>
              </w:rPr>
            </w:pPr>
            <w:r>
              <w:rPr>
                <w:rFonts w:ascii="宋体" w:hAnsi="宋体" w:eastAsia="宋体" w:cs="Times New Roman"/>
                <w:szCs w:val="21"/>
              </w:rPr>
              <w:t>守法、依照公司章程、</w:t>
            </w:r>
          </w:p>
          <w:p w14:paraId="2762B961">
            <w:pPr>
              <w:widowControl/>
              <w:spacing w:line="0" w:lineRule="atLeast"/>
              <w:jc w:val="center"/>
              <w:rPr>
                <w:rFonts w:hint="eastAsia" w:ascii="宋体" w:hAnsi="宋体" w:eastAsia="宋体" w:cs="Times New Roman"/>
                <w:szCs w:val="21"/>
              </w:rPr>
            </w:pPr>
            <w:r>
              <w:rPr>
                <w:rFonts w:ascii="宋体" w:hAnsi="宋体" w:eastAsia="宋体" w:cs="Times New Roman"/>
                <w:szCs w:val="21"/>
              </w:rPr>
              <w:t>尊重商业道德</w:t>
            </w:r>
          </w:p>
        </w:tc>
        <w:tc>
          <w:tcPr>
            <w:tcW w:w="1704" w:type="pct"/>
            <w:vAlign w:val="center"/>
          </w:tcPr>
          <w:p w14:paraId="116E83A0">
            <w:pPr>
              <w:spacing w:line="0" w:lineRule="atLeast"/>
              <w:jc w:val="center"/>
              <w:rPr>
                <w:rFonts w:hint="eastAsia" w:ascii="宋体" w:hAnsi="宋体" w:eastAsia="宋体" w:cs="Times New Roman"/>
                <w:szCs w:val="21"/>
              </w:rPr>
            </w:pPr>
            <w:r>
              <w:rPr>
                <w:rFonts w:ascii="宋体" w:hAnsi="宋体" w:eastAsia="宋体" w:cs="Times New Roman"/>
                <w:szCs w:val="21"/>
              </w:rPr>
              <w:t>会议、审计监察</w:t>
            </w:r>
          </w:p>
        </w:tc>
        <w:tc>
          <w:tcPr>
            <w:tcW w:w="1092" w:type="pct"/>
            <w:vAlign w:val="center"/>
          </w:tcPr>
          <w:p w14:paraId="57BC4C3E">
            <w:pPr>
              <w:spacing w:line="0" w:lineRule="atLeast"/>
              <w:jc w:val="center"/>
              <w:rPr>
                <w:rFonts w:hint="eastAsia" w:ascii="宋体" w:hAnsi="宋体" w:eastAsia="宋体" w:cs="Times New Roman"/>
                <w:szCs w:val="21"/>
              </w:rPr>
            </w:pPr>
            <w:r>
              <w:rPr>
                <w:rFonts w:ascii="宋体" w:hAnsi="宋体" w:eastAsia="宋体" w:cs="Times New Roman"/>
                <w:szCs w:val="21"/>
              </w:rPr>
              <w:t>违法违纪</w:t>
            </w:r>
          </w:p>
        </w:tc>
      </w:tr>
      <w:bookmarkEnd w:id="29"/>
    </w:tbl>
    <w:p w14:paraId="58404CA2">
      <w:pPr>
        <w:spacing w:line="360" w:lineRule="auto"/>
        <w:ind w:firstLine="482" w:firstLineChars="200"/>
        <w:rPr>
          <w:rFonts w:hint="eastAsia" w:ascii="宋体" w:hAnsi="宋体" w:eastAsia="宋体" w:cs="Times New Roman"/>
          <w:b/>
          <w:sz w:val="24"/>
          <w:szCs w:val="28"/>
        </w:rPr>
      </w:pPr>
      <w:r>
        <w:rPr>
          <w:rFonts w:hint="eastAsia" w:ascii="宋体" w:hAnsi="宋体" w:eastAsia="宋体" w:cs="黑体"/>
          <w:b/>
          <w:sz w:val="24"/>
          <w:szCs w:val="28"/>
        </w:rPr>
        <w:t>（3）产品质量保证承诺</w:t>
      </w:r>
    </w:p>
    <w:p w14:paraId="35C8D75E">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企业产品质量符合宣传广告、使用说明书、产品标签内容标识，无虚假宣传；产品生产、检验、出厂均符合国家标准要求，产品品质高；若消费者在使用我公司产品时，发现有产品质量问题或疑问，均可拨打服务热线，公司承诺对顾客任何问题均会进行及时有效解答处理。</w:t>
      </w:r>
    </w:p>
    <w:p w14:paraId="74FAF5EE">
      <w:pPr>
        <w:spacing w:line="360" w:lineRule="auto"/>
        <w:ind w:firstLine="466" w:firstLineChars="200"/>
        <w:jc w:val="left"/>
        <w:rPr>
          <w:rFonts w:hint="eastAsia" w:ascii="宋体" w:hAnsi="宋体" w:eastAsia="宋体" w:cs="微软雅黑"/>
          <w:b/>
          <w:color w:val="000000"/>
          <w:spacing w:val="-4"/>
          <w:sz w:val="24"/>
          <w:szCs w:val="28"/>
        </w:rPr>
      </w:pPr>
      <w:r>
        <w:rPr>
          <w:rFonts w:hint="eastAsia" w:ascii="宋体" w:hAnsi="宋体" w:eastAsia="宋体" w:cs="微软雅黑"/>
          <w:b/>
          <w:color w:val="000000"/>
          <w:spacing w:val="-4"/>
          <w:sz w:val="24"/>
          <w:szCs w:val="28"/>
        </w:rPr>
        <w:t>旨恒机床对“浙江制造”认证产品做出以下质量承诺：</w:t>
      </w:r>
    </w:p>
    <w:p w14:paraId="5AB9A1EC">
      <w:pPr>
        <w:pStyle w:val="31"/>
        <w:numPr>
          <w:ilvl w:val="0"/>
          <w:numId w:val="3"/>
        </w:numPr>
        <w:spacing w:line="360" w:lineRule="auto"/>
        <w:ind w:firstLineChars="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制造商承诺自交付之日起，在合规储运、使用条件下，但由于操作不当或存放时间过长造成的外观或内部的损坏除外，产品整机在1 年内或电主轴在3 年内出现质量问题，提供免费维修服务。</w:t>
      </w:r>
    </w:p>
    <w:p w14:paraId="1E85BB52">
      <w:pPr>
        <w:pStyle w:val="31"/>
        <w:numPr>
          <w:ilvl w:val="0"/>
          <w:numId w:val="3"/>
        </w:numPr>
        <w:spacing w:line="360" w:lineRule="auto"/>
        <w:ind w:firstLineChars="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制造商应在客户提出问题后48 h 以内提出解决方案。</w:t>
      </w:r>
    </w:p>
    <w:p w14:paraId="0B6FF170">
      <w:pPr>
        <w:spacing w:before="156" w:beforeLines="50" w:line="360" w:lineRule="auto"/>
        <w:ind w:firstLine="482" w:firstLineChars="200"/>
        <w:rPr>
          <w:rFonts w:hint="eastAsia" w:ascii="宋体" w:hAnsi="宋体" w:eastAsia="宋体" w:cs="黑体"/>
          <w:b/>
          <w:sz w:val="24"/>
          <w:szCs w:val="28"/>
        </w:rPr>
      </w:pPr>
      <w:r>
        <w:rPr>
          <w:rFonts w:hint="eastAsia" w:ascii="宋体" w:hAnsi="宋体" w:eastAsia="宋体" w:cs="黑体"/>
          <w:b/>
          <w:sz w:val="24"/>
          <w:szCs w:val="28"/>
        </w:rPr>
        <w:t>（4）劳动保护管理</w:t>
      </w:r>
    </w:p>
    <w:p w14:paraId="608E1573">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公司建立</w:t>
      </w:r>
      <w:r>
        <w:rPr>
          <w:rFonts w:ascii="宋体" w:hAnsi="宋体" w:eastAsia="宋体" w:cs="微软雅黑"/>
          <w:color w:val="000000"/>
          <w:spacing w:val="-4"/>
          <w:sz w:val="24"/>
          <w:szCs w:val="28"/>
        </w:rPr>
        <w:t>ISO 45001</w:t>
      </w:r>
      <w:r>
        <w:rPr>
          <w:rFonts w:hint="eastAsia" w:ascii="宋体" w:hAnsi="宋体" w:eastAsia="宋体" w:cs="微软雅黑"/>
          <w:color w:val="000000"/>
          <w:spacing w:val="-4"/>
          <w:sz w:val="24"/>
          <w:szCs w:val="28"/>
        </w:rPr>
        <w:t>职业健康安全管理体系，保障员工的安全健康；坚持以人为本，严格执行《中华人民共和国劳动法》、《中华人民共和国安全生产法》、《中华人民共和国职业病防治法》等劳动、安全生产法律法规，努力营造健康、安全、舒适的工作环境；委托第三方检测机构进行职业病危害因素检查，为员工配备耳塞、劳保鞋、口罩等劳动防护用品；每年组织员工进行职业病体检，建立了职业病安全健康检查台账；不断采取治理措施和个人防护措施来改进职业健康与安全工作条件，并定期测量和控制关键工作场所的影响因素，积极为员工创建安全的工作环境；此外积极通过培训让员工了解安全常识和个人健康养护常识，增强个人保护能力。</w:t>
      </w:r>
    </w:p>
    <w:p w14:paraId="45D9CCB8">
      <w:pPr>
        <w:spacing w:line="360" w:lineRule="auto"/>
        <w:ind w:firstLine="482" w:firstLineChars="200"/>
        <w:rPr>
          <w:rFonts w:hint="eastAsia" w:ascii="宋体" w:hAnsi="宋体" w:eastAsia="宋体" w:cs="黑体"/>
          <w:b/>
          <w:sz w:val="24"/>
          <w:szCs w:val="28"/>
        </w:rPr>
      </w:pPr>
      <w:r>
        <w:rPr>
          <w:rFonts w:hint="eastAsia" w:ascii="宋体" w:hAnsi="宋体" w:eastAsia="宋体" w:cs="黑体"/>
          <w:b/>
          <w:sz w:val="24"/>
          <w:szCs w:val="28"/>
        </w:rPr>
        <w:t>（5）公益支持</w:t>
      </w:r>
    </w:p>
    <w:p w14:paraId="4F8F96EB">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公司热心社会公益事业，理性、持久地进行公益投入，主要体现在慈善捐助。通过制定年度公益活动计划，从预算、人员等方面保证有计划地开展公益支持活动。通过公益事业，提升公司品牌知名度和美誉度。</w:t>
      </w:r>
    </w:p>
    <w:p w14:paraId="529D9AAC">
      <w:pPr>
        <w:adjustRightInd w:val="0"/>
        <w:snapToGrid w:val="0"/>
        <w:spacing w:line="360" w:lineRule="auto"/>
        <w:ind w:left="479" w:leftChars="228"/>
        <w:jc w:val="center"/>
        <w:rPr>
          <w:rFonts w:hint="eastAsia" w:ascii="宋体" w:hAnsi="宋体" w:eastAsia="宋体" w:cs="宋体"/>
          <w:b/>
          <w:sz w:val="24"/>
          <w:szCs w:val="28"/>
        </w:rPr>
      </w:pPr>
      <w:r>
        <w:rPr>
          <w:rFonts w:hint="eastAsia" w:ascii="宋体" w:hAnsi="宋体" w:eastAsia="宋体" w:cs="宋体"/>
          <w:b/>
          <w:sz w:val="24"/>
          <w:szCs w:val="28"/>
        </w:rPr>
        <w:t>表7公益</w:t>
      </w:r>
      <w:r>
        <w:rPr>
          <w:rFonts w:ascii="宋体" w:hAnsi="宋体" w:eastAsia="宋体" w:cs="宋体"/>
          <w:b/>
          <w:sz w:val="24"/>
          <w:szCs w:val="28"/>
        </w:rPr>
        <w:t>投入</w:t>
      </w:r>
      <w:r>
        <w:rPr>
          <w:rFonts w:hint="eastAsia" w:ascii="宋体" w:hAnsi="宋体" w:eastAsia="宋体" w:cs="宋体"/>
          <w:b/>
          <w:sz w:val="24"/>
          <w:szCs w:val="28"/>
        </w:rPr>
        <w:t>一览表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687"/>
        <w:gridCol w:w="1986"/>
        <w:gridCol w:w="2087"/>
      </w:tblGrid>
      <w:tr w14:paraId="63A9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23" w:type="pct"/>
            <w:shd w:val="clear" w:color="auto" w:fill="538135"/>
            <w:vAlign w:val="center"/>
          </w:tcPr>
          <w:p w14:paraId="0343A882">
            <w:pPr>
              <w:spacing w:line="24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序号</w:t>
            </w:r>
          </w:p>
        </w:tc>
        <w:tc>
          <w:tcPr>
            <w:tcW w:w="2448" w:type="pct"/>
            <w:shd w:val="clear" w:color="auto" w:fill="538135"/>
            <w:vAlign w:val="center"/>
          </w:tcPr>
          <w:p w14:paraId="55A4258B">
            <w:pPr>
              <w:spacing w:line="24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内容</w:t>
            </w:r>
          </w:p>
        </w:tc>
        <w:tc>
          <w:tcPr>
            <w:tcW w:w="1037" w:type="pct"/>
            <w:shd w:val="clear" w:color="auto" w:fill="538135"/>
            <w:vAlign w:val="center"/>
          </w:tcPr>
          <w:p w14:paraId="154126AF">
            <w:pPr>
              <w:spacing w:line="24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金额</w:t>
            </w:r>
          </w:p>
        </w:tc>
        <w:tc>
          <w:tcPr>
            <w:tcW w:w="1090" w:type="pct"/>
            <w:shd w:val="clear" w:color="auto" w:fill="538135"/>
            <w:vAlign w:val="center"/>
          </w:tcPr>
          <w:p w14:paraId="7F75C23D">
            <w:pPr>
              <w:spacing w:line="24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日期</w:t>
            </w:r>
          </w:p>
        </w:tc>
      </w:tr>
      <w:tr w14:paraId="61A4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pct"/>
            <w:vAlign w:val="center"/>
          </w:tcPr>
          <w:p w14:paraId="7E77B8BB">
            <w:pPr>
              <w:widowControl/>
              <w:jc w:val="center"/>
              <w:rPr>
                <w:rFonts w:hint="eastAsia" w:asciiTheme="minorEastAsia" w:hAnsiTheme="minorEastAsia"/>
              </w:rPr>
            </w:pPr>
            <w:r>
              <w:rPr>
                <w:rFonts w:hint="eastAsia" w:asciiTheme="minorEastAsia" w:hAnsiTheme="minorEastAsia"/>
              </w:rPr>
              <w:t>1</w:t>
            </w:r>
          </w:p>
        </w:tc>
        <w:tc>
          <w:tcPr>
            <w:tcW w:w="2448" w:type="pct"/>
            <w:vAlign w:val="center"/>
          </w:tcPr>
          <w:p w14:paraId="51F6DE0F">
            <w:pPr>
              <w:jc w:val="center"/>
              <w:rPr>
                <w:rFonts w:hint="eastAsia" w:asciiTheme="minorEastAsia" w:hAnsiTheme="minorEastAsia"/>
              </w:rPr>
            </w:pPr>
            <w:r>
              <w:rPr>
                <w:rFonts w:hint="eastAsia" w:ascii="宋体" w:hAnsi="宋体" w:eastAsia="宋体" w:cs="宋体"/>
              </w:rPr>
              <w:t>集体无偿鲜血</w:t>
            </w:r>
          </w:p>
        </w:tc>
        <w:tc>
          <w:tcPr>
            <w:tcW w:w="1037" w:type="pct"/>
            <w:vAlign w:val="center"/>
          </w:tcPr>
          <w:p w14:paraId="06B1D6AB">
            <w:pPr>
              <w:jc w:val="center"/>
              <w:rPr>
                <w:rFonts w:hint="eastAsia" w:asciiTheme="minorEastAsia" w:hAnsiTheme="minorEastAsia"/>
              </w:rPr>
            </w:pPr>
            <w:r>
              <w:rPr>
                <w:rFonts w:hint="eastAsia" w:ascii="宋体" w:hAnsi="宋体" w:eastAsia="宋体" w:cs="宋体"/>
              </w:rPr>
              <w:t>/</w:t>
            </w:r>
          </w:p>
        </w:tc>
        <w:tc>
          <w:tcPr>
            <w:tcW w:w="1090" w:type="pct"/>
            <w:vAlign w:val="center"/>
          </w:tcPr>
          <w:p w14:paraId="6F852334">
            <w:pPr>
              <w:jc w:val="center"/>
              <w:rPr>
                <w:rFonts w:hint="eastAsia" w:asciiTheme="minorEastAsia" w:hAnsiTheme="minorEastAsia"/>
              </w:rPr>
            </w:pPr>
            <w:r>
              <w:rPr>
                <w:rFonts w:hint="eastAsia" w:ascii="宋体" w:hAnsi="宋体" w:eastAsia="宋体" w:cs="宋体"/>
              </w:rPr>
              <w:t>2022年11月18日</w:t>
            </w:r>
          </w:p>
        </w:tc>
      </w:tr>
    </w:tbl>
    <w:p w14:paraId="7C178761">
      <w:pPr>
        <w:spacing w:before="156" w:beforeLines="50" w:line="360" w:lineRule="auto"/>
        <w:outlineLvl w:val="2"/>
        <w:rPr>
          <w:rFonts w:hint="eastAsia" w:ascii="宋体" w:hAnsi="宋体" w:eastAsia="宋体" w:cs="楷体"/>
          <w:b/>
          <w:color w:val="000000"/>
          <w:sz w:val="28"/>
          <w:szCs w:val="32"/>
        </w:rPr>
      </w:pPr>
      <w:bookmarkStart w:id="30" w:name="_Toc48809484"/>
      <w:r>
        <w:rPr>
          <w:rFonts w:hint="eastAsia" w:ascii="宋体" w:hAnsi="宋体" w:eastAsia="宋体" w:cs="楷体"/>
          <w:b/>
          <w:color w:val="000000"/>
          <w:sz w:val="28"/>
          <w:szCs w:val="32"/>
        </w:rPr>
        <w:t>（四）质量诚信记录</w:t>
      </w:r>
      <w:bookmarkEnd w:id="30"/>
    </w:p>
    <w:p w14:paraId="2DB19B1C">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本公司产品质量稳定，暂无不良质量记录。</w:t>
      </w:r>
    </w:p>
    <w:p w14:paraId="11985937">
      <w:pPr>
        <w:spacing w:before="312" w:beforeLines="100" w:after="312" w:afterLines="100" w:line="360" w:lineRule="auto"/>
        <w:jc w:val="center"/>
        <w:outlineLvl w:val="0"/>
        <w:rPr>
          <w:rFonts w:hint="eastAsia" w:ascii="黑体" w:hAnsi="黑体" w:eastAsia="黑体" w:cs="宋体"/>
          <w:color w:val="000000"/>
          <w:kern w:val="32"/>
          <w:sz w:val="32"/>
          <w:szCs w:val="32"/>
        </w:rPr>
      </w:pPr>
      <w:bookmarkStart w:id="31" w:name="_Toc11669277"/>
      <w:r>
        <w:rPr>
          <w:rFonts w:hint="eastAsia" w:ascii="宋体" w:hAnsi="宋体" w:eastAsia="宋体" w:cs="宋体"/>
          <w:color w:val="000000"/>
          <w:kern w:val="32"/>
          <w:sz w:val="36"/>
          <w:szCs w:val="36"/>
        </w:rPr>
        <w:br w:type="page"/>
      </w:r>
      <w:bookmarkStart w:id="32" w:name="_Toc48809485"/>
      <w:r>
        <w:rPr>
          <w:rFonts w:hint="eastAsia" w:ascii="黑体" w:hAnsi="黑体" w:eastAsia="黑体" w:cs="宋体"/>
          <w:color w:val="000000"/>
          <w:kern w:val="32"/>
          <w:sz w:val="32"/>
          <w:szCs w:val="32"/>
        </w:rPr>
        <w:t xml:space="preserve">第三部分 </w:t>
      </w:r>
      <w:r>
        <w:rPr>
          <w:rFonts w:hint="eastAsia" w:ascii="黑体" w:hAnsi="黑体" w:eastAsia="黑体" w:cs="楷体"/>
          <w:bCs/>
          <w:color w:val="000000"/>
          <w:kern w:val="32"/>
          <w:sz w:val="32"/>
          <w:szCs w:val="32"/>
        </w:rPr>
        <w:t>报告结语</w:t>
      </w:r>
      <w:bookmarkEnd w:id="31"/>
      <w:bookmarkEnd w:id="32"/>
    </w:p>
    <w:p w14:paraId="1CA356DE">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审视过去，公司全面落实生产企业的质量安全主体责任，不断完善产品结构。从影响产品质量的每一个环节入手，不断完善企业内部各项管理制度，持续改进质量管理体系的运行质量，塑造良好的企业文化，打造卓越产品。</w:t>
      </w:r>
    </w:p>
    <w:p w14:paraId="41484BDB">
      <w:pPr>
        <w:spacing w:line="360" w:lineRule="auto"/>
        <w:ind w:firstLine="464" w:firstLineChars="200"/>
        <w:jc w:val="left"/>
        <w:rPr>
          <w:rFonts w:hint="eastAsia" w:ascii="宋体" w:hAnsi="宋体" w:eastAsia="宋体" w:cs="仿宋_GB2312"/>
          <w:color w:val="000000"/>
          <w:sz w:val="24"/>
          <w:szCs w:val="28"/>
        </w:rPr>
      </w:pPr>
      <w:r>
        <w:rPr>
          <w:rFonts w:hint="eastAsia" w:ascii="宋体" w:hAnsi="宋体" w:eastAsia="宋体" w:cs="微软雅黑"/>
          <w:color w:val="000000"/>
          <w:spacing w:val="-4"/>
          <w:sz w:val="24"/>
          <w:szCs w:val="28"/>
        </w:rPr>
        <w:t>放眼未来，我们将以卓越的产品质量占领市场，以良好的信誉留住客户，推进质量管理体系的持续改进和高效运行，全面强化全员维护品牌形象。公司坚信以质量为基，诚信为本，向质量要效益、促发展，才真正达到诚信经营、以质取胜！</w:t>
      </w:r>
    </w:p>
    <w:sectPr>
      <w:headerReference r:id="rId4" w:type="default"/>
      <w:footerReference r:id="rId5" w:type="default"/>
      <w:pgSz w:w="11906" w:h="16838"/>
      <w:pgMar w:top="1418" w:right="1134"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Regular">
    <w:altName w:val="Calibri"/>
    <w:panose1 w:val="00000000000000000000"/>
    <w:charset w:val="00"/>
    <w:family w:val="swiss"/>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3E12">
    <w:pPr>
      <w:pStyle w:val="7"/>
      <w:jc w:val="center"/>
      <w:rPr>
        <w:rFonts w:hint="eastAsia"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A44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3A0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20570"/>
    <w:multiLevelType w:val="multilevel"/>
    <w:tmpl w:val="44C205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D985D94"/>
    <w:multiLevelType w:val="multilevel"/>
    <w:tmpl w:val="5D985D94"/>
    <w:lvl w:ilvl="0" w:tentative="0">
      <w:start w:val="1"/>
      <w:numFmt w:val="bullet"/>
      <w:lvlText w:val=""/>
      <w:lvlJc w:val="left"/>
      <w:pPr>
        <w:ind w:left="884" w:hanging="420"/>
      </w:pPr>
      <w:rPr>
        <w:rFonts w:hint="default" w:ascii="Wingdings" w:hAnsi="Wingdings"/>
      </w:rPr>
    </w:lvl>
    <w:lvl w:ilvl="1" w:tentative="0">
      <w:start w:val="1"/>
      <w:numFmt w:val="bullet"/>
      <w:lvlText w:val=""/>
      <w:lvlJc w:val="left"/>
      <w:pPr>
        <w:ind w:left="1304" w:hanging="420"/>
      </w:pPr>
      <w:rPr>
        <w:rFonts w:hint="default" w:ascii="Wingdings" w:hAnsi="Wingdings"/>
      </w:rPr>
    </w:lvl>
    <w:lvl w:ilvl="2" w:tentative="0">
      <w:start w:val="1"/>
      <w:numFmt w:val="bullet"/>
      <w:lvlText w:val=""/>
      <w:lvlJc w:val="left"/>
      <w:pPr>
        <w:ind w:left="1724" w:hanging="420"/>
      </w:pPr>
      <w:rPr>
        <w:rFonts w:hint="default" w:ascii="Wingdings" w:hAnsi="Wingdings"/>
      </w:rPr>
    </w:lvl>
    <w:lvl w:ilvl="3" w:tentative="0">
      <w:start w:val="1"/>
      <w:numFmt w:val="bullet"/>
      <w:lvlText w:val=""/>
      <w:lvlJc w:val="left"/>
      <w:pPr>
        <w:ind w:left="2144" w:hanging="420"/>
      </w:pPr>
      <w:rPr>
        <w:rFonts w:hint="default" w:ascii="Wingdings" w:hAnsi="Wingdings"/>
      </w:rPr>
    </w:lvl>
    <w:lvl w:ilvl="4" w:tentative="0">
      <w:start w:val="1"/>
      <w:numFmt w:val="bullet"/>
      <w:lvlText w:val=""/>
      <w:lvlJc w:val="left"/>
      <w:pPr>
        <w:ind w:left="2564" w:hanging="420"/>
      </w:pPr>
      <w:rPr>
        <w:rFonts w:hint="default" w:ascii="Wingdings" w:hAnsi="Wingdings"/>
      </w:rPr>
    </w:lvl>
    <w:lvl w:ilvl="5" w:tentative="0">
      <w:start w:val="1"/>
      <w:numFmt w:val="bullet"/>
      <w:lvlText w:val=""/>
      <w:lvlJc w:val="left"/>
      <w:pPr>
        <w:ind w:left="2984" w:hanging="420"/>
      </w:pPr>
      <w:rPr>
        <w:rFonts w:hint="default" w:ascii="Wingdings" w:hAnsi="Wingdings"/>
      </w:rPr>
    </w:lvl>
    <w:lvl w:ilvl="6" w:tentative="0">
      <w:start w:val="1"/>
      <w:numFmt w:val="bullet"/>
      <w:lvlText w:val=""/>
      <w:lvlJc w:val="left"/>
      <w:pPr>
        <w:ind w:left="3404" w:hanging="420"/>
      </w:pPr>
      <w:rPr>
        <w:rFonts w:hint="default" w:ascii="Wingdings" w:hAnsi="Wingdings"/>
      </w:rPr>
    </w:lvl>
    <w:lvl w:ilvl="7" w:tentative="0">
      <w:start w:val="1"/>
      <w:numFmt w:val="bullet"/>
      <w:lvlText w:val=""/>
      <w:lvlJc w:val="left"/>
      <w:pPr>
        <w:ind w:left="3824" w:hanging="420"/>
      </w:pPr>
      <w:rPr>
        <w:rFonts w:hint="default" w:ascii="Wingdings" w:hAnsi="Wingdings"/>
      </w:rPr>
    </w:lvl>
    <w:lvl w:ilvl="8" w:tentative="0">
      <w:start w:val="1"/>
      <w:numFmt w:val="bullet"/>
      <w:lvlText w:val=""/>
      <w:lvlJc w:val="left"/>
      <w:pPr>
        <w:ind w:left="4244" w:hanging="420"/>
      </w:pPr>
      <w:rPr>
        <w:rFonts w:hint="default" w:ascii="Wingdings" w:hAnsi="Wingdings"/>
      </w:rPr>
    </w:lvl>
  </w:abstractNum>
  <w:abstractNum w:abstractNumId="2">
    <w:nsid w:val="62E528AC"/>
    <w:multiLevelType w:val="multilevel"/>
    <w:tmpl w:val="62E528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hZWQ0ZGYzNjM4NjAxM2NmOTc3MTNiNmNiM2Q1MDMifQ=="/>
  </w:docVars>
  <w:rsids>
    <w:rsidRoot w:val="00172A27"/>
    <w:rsid w:val="0003170D"/>
    <w:rsid w:val="00046BDE"/>
    <w:rsid w:val="00061D99"/>
    <w:rsid w:val="0008411E"/>
    <w:rsid w:val="000A2D86"/>
    <w:rsid w:val="000D0A29"/>
    <w:rsid w:val="000D383D"/>
    <w:rsid w:val="000F167B"/>
    <w:rsid w:val="001155A3"/>
    <w:rsid w:val="00130459"/>
    <w:rsid w:val="00141F01"/>
    <w:rsid w:val="0014237A"/>
    <w:rsid w:val="00172A27"/>
    <w:rsid w:val="00173B72"/>
    <w:rsid w:val="001758D6"/>
    <w:rsid w:val="00176DA0"/>
    <w:rsid w:val="001772AE"/>
    <w:rsid w:val="00181886"/>
    <w:rsid w:val="001B0E30"/>
    <w:rsid w:val="001B451C"/>
    <w:rsid w:val="001B50A6"/>
    <w:rsid w:val="001B7ACF"/>
    <w:rsid w:val="001D7582"/>
    <w:rsid w:val="001E3AAD"/>
    <w:rsid w:val="001F5476"/>
    <w:rsid w:val="00216FA3"/>
    <w:rsid w:val="00226D6D"/>
    <w:rsid w:val="00234446"/>
    <w:rsid w:val="0024751F"/>
    <w:rsid w:val="00251D1B"/>
    <w:rsid w:val="00252497"/>
    <w:rsid w:val="00255C95"/>
    <w:rsid w:val="0026411B"/>
    <w:rsid w:val="00277FE1"/>
    <w:rsid w:val="00280228"/>
    <w:rsid w:val="00294A9B"/>
    <w:rsid w:val="002A5449"/>
    <w:rsid w:val="002B032C"/>
    <w:rsid w:val="002C1BD7"/>
    <w:rsid w:val="002C3275"/>
    <w:rsid w:val="002D7C08"/>
    <w:rsid w:val="002E1625"/>
    <w:rsid w:val="002F6F34"/>
    <w:rsid w:val="002F7E82"/>
    <w:rsid w:val="00315884"/>
    <w:rsid w:val="00325B1C"/>
    <w:rsid w:val="00337B75"/>
    <w:rsid w:val="00340CC4"/>
    <w:rsid w:val="0035656B"/>
    <w:rsid w:val="003661D5"/>
    <w:rsid w:val="003663D4"/>
    <w:rsid w:val="003709BB"/>
    <w:rsid w:val="00376103"/>
    <w:rsid w:val="00376A4E"/>
    <w:rsid w:val="003827EB"/>
    <w:rsid w:val="00383A91"/>
    <w:rsid w:val="00386739"/>
    <w:rsid w:val="003935F4"/>
    <w:rsid w:val="003A423A"/>
    <w:rsid w:val="003A4DDE"/>
    <w:rsid w:val="003B360A"/>
    <w:rsid w:val="003D67B3"/>
    <w:rsid w:val="003E54C2"/>
    <w:rsid w:val="003F37C4"/>
    <w:rsid w:val="0043022F"/>
    <w:rsid w:val="00447395"/>
    <w:rsid w:val="0045370A"/>
    <w:rsid w:val="00454269"/>
    <w:rsid w:val="00454E98"/>
    <w:rsid w:val="0045517D"/>
    <w:rsid w:val="00462867"/>
    <w:rsid w:val="00485FDD"/>
    <w:rsid w:val="004B6689"/>
    <w:rsid w:val="004B6DD5"/>
    <w:rsid w:val="004C69CD"/>
    <w:rsid w:val="004F0121"/>
    <w:rsid w:val="004F4620"/>
    <w:rsid w:val="004F514F"/>
    <w:rsid w:val="004F64F8"/>
    <w:rsid w:val="00500D70"/>
    <w:rsid w:val="00501646"/>
    <w:rsid w:val="0050495C"/>
    <w:rsid w:val="0052437D"/>
    <w:rsid w:val="0053091F"/>
    <w:rsid w:val="00530B8B"/>
    <w:rsid w:val="005542DF"/>
    <w:rsid w:val="005544AD"/>
    <w:rsid w:val="00561B2E"/>
    <w:rsid w:val="00575A2D"/>
    <w:rsid w:val="00590D1B"/>
    <w:rsid w:val="00592B4D"/>
    <w:rsid w:val="00595267"/>
    <w:rsid w:val="0059627A"/>
    <w:rsid w:val="005A3C62"/>
    <w:rsid w:val="005A3F9F"/>
    <w:rsid w:val="005B377F"/>
    <w:rsid w:val="005B5904"/>
    <w:rsid w:val="005C1A3A"/>
    <w:rsid w:val="005C6158"/>
    <w:rsid w:val="005D2B4D"/>
    <w:rsid w:val="005F24EB"/>
    <w:rsid w:val="006103FC"/>
    <w:rsid w:val="0061259A"/>
    <w:rsid w:val="00612973"/>
    <w:rsid w:val="00614292"/>
    <w:rsid w:val="006260D2"/>
    <w:rsid w:val="00646A4C"/>
    <w:rsid w:val="00682E71"/>
    <w:rsid w:val="006C596C"/>
    <w:rsid w:val="006D1744"/>
    <w:rsid w:val="00713AEB"/>
    <w:rsid w:val="0071437A"/>
    <w:rsid w:val="00722DED"/>
    <w:rsid w:val="0074623B"/>
    <w:rsid w:val="00757C21"/>
    <w:rsid w:val="00760911"/>
    <w:rsid w:val="007725F7"/>
    <w:rsid w:val="0077355C"/>
    <w:rsid w:val="007B74C3"/>
    <w:rsid w:val="007B788C"/>
    <w:rsid w:val="007B7EFB"/>
    <w:rsid w:val="007C4A75"/>
    <w:rsid w:val="007D21DE"/>
    <w:rsid w:val="008009C0"/>
    <w:rsid w:val="00805BF3"/>
    <w:rsid w:val="00805D5A"/>
    <w:rsid w:val="00821C25"/>
    <w:rsid w:val="00826C27"/>
    <w:rsid w:val="00833676"/>
    <w:rsid w:val="00835A0D"/>
    <w:rsid w:val="00864940"/>
    <w:rsid w:val="00882B42"/>
    <w:rsid w:val="00893EDD"/>
    <w:rsid w:val="008A7BCD"/>
    <w:rsid w:val="008F53F7"/>
    <w:rsid w:val="008F5424"/>
    <w:rsid w:val="009062C6"/>
    <w:rsid w:val="00906A1C"/>
    <w:rsid w:val="009178FB"/>
    <w:rsid w:val="009321E0"/>
    <w:rsid w:val="0094008E"/>
    <w:rsid w:val="009410E5"/>
    <w:rsid w:val="00942560"/>
    <w:rsid w:val="00980051"/>
    <w:rsid w:val="00982AC3"/>
    <w:rsid w:val="00991C8C"/>
    <w:rsid w:val="00992537"/>
    <w:rsid w:val="009A1D61"/>
    <w:rsid w:val="009B66FF"/>
    <w:rsid w:val="009B7087"/>
    <w:rsid w:val="009B74D1"/>
    <w:rsid w:val="009C163F"/>
    <w:rsid w:val="009C6C3A"/>
    <w:rsid w:val="009D194E"/>
    <w:rsid w:val="009D45C4"/>
    <w:rsid w:val="009D5E48"/>
    <w:rsid w:val="009E59E2"/>
    <w:rsid w:val="00A05868"/>
    <w:rsid w:val="00A13D43"/>
    <w:rsid w:val="00A177CF"/>
    <w:rsid w:val="00A21132"/>
    <w:rsid w:val="00A25F95"/>
    <w:rsid w:val="00A35EA2"/>
    <w:rsid w:val="00A404BF"/>
    <w:rsid w:val="00A45363"/>
    <w:rsid w:val="00A531E2"/>
    <w:rsid w:val="00A55294"/>
    <w:rsid w:val="00A6180C"/>
    <w:rsid w:val="00A62436"/>
    <w:rsid w:val="00A66873"/>
    <w:rsid w:val="00AA6214"/>
    <w:rsid w:val="00AB5840"/>
    <w:rsid w:val="00AB6444"/>
    <w:rsid w:val="00AD6A7B"/>
    <w:rsid w:val="00AF516F"/>
    <w:rsid w:val="00B02918"/>
    <w:rsid w:val="00B05952"/>
    <w:rsid w:val="00B602B8"/>
    <w:rsid w:val="00B60A19"/>
    <w:rsid w:val="00B63EE1"/>
    <w:rsid w:val="00B64999"/>
    <w:rsid w:val="00B734CF"/>
    <w:rsid w:val="00B7413E"/>
    <w:rsid w:val="00B916C3"/>
    <w:rsid w:val="00BA5843"/>
    <w:rsid w:val="00BB345F"/>
    <w:rsid w:val="00BB64D0"/>
    <w:rsid w:val="00BC1BBB"/>
    <w:rsid w:val="00BF1302"/>
    <w:rsid w:val="00BF6ABE"/>
    <w:rsid w:val="00C21D5B"/>
    <w:rsid w:val="00C54635"/>
    <w:rsid w:val="00C6401D"/>
    <w:rsid w:val="00CA5B78"/>
    <w:rsid w:val="00CA77D4"/>
    <w:rsid w:val="00CC6EF1"/>
    <w:rsid w:val="00CE1794"/>
    <w:rsid w:val="00D04E55"/>
    <w:rsid w:val="00D059B8"/>
    <w:rsid w:val="00D31CF3"/>
    <w:rsid w:val="00D32387"/>
    <w:rsid w:val="00D32D18"/>
    <w:rsid w:val="00D41FCE"/>
    <w:rsid w:val="00D9239A"/>
    <w:rsid w:val="00DA1D7B"/>
    <w:rsid w:val="00DB570F"/>
    <w:rsid w:val="00DC2592"/>
    <w:rsid w:val="00DD39BF"/>
    <w:rsid w:val="00DD5051"/>
    <w:rsid w:val="00DF4CC0"/>
    <w:rsid w:val="00DF70DE"/>
    <w:rsid w:val="00E07927"/>
    <w:rsid w:val="00E31712"/>
    <w:rsid w:val="00E32C0D"/>
    <w:rsid w:val="00E477B9"/>
    <w:rsid w:val="00E55550"/>
    <w:rsid w:val="00E57161"/>
    <w:rsid w:val="00E80A83"/>
    <w:rsid w:val="00E97090"/>
    <w:rsid w:val="00EB1A6C"/>
    <w:rsid w:val="00EC1011"/>
    <w:rsid w:val="00EC4C84"/>
    <w:rsid w:val="00ED5632"/>
    <w:rsid w:val="00ED6131"/>
    <w:rsid w:val="00EE4780"/>
    <w:rsid w:val="00EE4A1F"/>
    <w:rsid w:val="00F21B3B"/>
    <w:rsid w:val="00F44108"/>
    <w:rsid w:val="00F620BA"/>
    <w:rsid w:val="00F709BF"/>
    <w:rsid w:val="00F72C16"/>
    <w:rsid w:val="00F8355A"/>
    <w:rsid w:val="00F84775"/>
    <w:rsid w:val="00FA15B8"/>
    <w:rsid w:val="00FA4138"/>
    <w:rsid w:val="00FE0713"/>
    <w:rsid w:val="00FF67A9"/>
    <w:rsid w:val="01186163"/>
    <w:rsid w:val="016B09AA"/>
    <w:rsid w:val="019D4603"/>
    <w:rsid w:val="01C87818"/>
    <w:rsid w:val="02130775"/>
    <w:rsid w:val="023A6577"/>
    <w:rsid w:val="02950A93"/>
    <w:rsid w:val="030D18C8"/>
    <w:rsid w:val="04B51424"/>
    <w:rsid w:val="04E06D75"/>
    <w:rsid w:val="05F95B90"/>
    <w:rsid w:val="06BF13BA"/>
    <w:rsid w:val="075C176D"/>
    <w:rsid w:val="0A091B1B"/>
    <w:rsid w:val="0B010968"/>
    <w:rsid w:val="0B605302"/>
    <w:rsid w:val="0D3870CE"/>
    <w:rsid w:val="0D3B3001"/>
    <w:rsid w:val="0EBE5404"/>
    <w:rsid w:val="0F7225DF"/>
    <w:rsid w:val="10633651"/>
    <w:rsid w:val="10AE607F"/>
    <w:rsid w:val="12D565D7"/>
    <w:rsid w:val="13010750"/>
    <w:rsid w:val="131D5A75"/>
    <w:rsid w:val="142253FB"/>
    <w:rsid w:val="14C25E4C"/>
    <w:rsid w:val="15176FD7"/>
    <w:rsid w:val="18886733"/>
    <w:rsid w:val="1888774C"/>
    <w:rsid w:val="18F17765"/>
    <w:rsid w:val="1A123A70"/>
    <w:rsid w:val="1B616B15"/>
    <w:rsid w:val="1B666CB1"/>
    <w:rsid w:val="1B921EE2"/>
    <w:rsid w:val="1CCA238B"/>
    <w:rsid w:val="1CDA4E25"/>
    <w:rsid w:val="1D9D36BE"/>
    <w:rsid w:val="1E7B339D"/>
    <w:rsid w:val="1F38014B"/>
    <w:rsid w:val="1F3928BC"/>
    <w:rsid w:val="1F4C71E0"/>
    <w:rsid w:val="1F6544CA"/>
    <w:rsid w:val="234930E7"/>
    <w:rsid w:val="234F26E4"/>
    <w:rsid w:val="25444A66"/>
    <w:rsid w:val="267F3D47"/>
    <w:rsid w:val="276E0DC5"/>
    <w:rsid w:val="28536FE0"/>
    <w:rsid w:val="28FD21CA"/>
    <w:rsid w:val="2A256726"/>
    <w:rsid w:val="2A3C405D"/>
    <w:rsid w:val="2AA62E82"/>
    <w:rsid w:val="2AD953E5"/>
    <w:rsid w:val="2B2858CA"/>
    <w:rsid w:val="2BFA4673"/>
    <w:rsid w:val="2C4C5E44"/>
    <w:rsid w:val="2CB477A7"/>
    <w:rsid w:val="2F7D6339"/>
    <w:rsid w:val="31016157"/>
    <w:rsid w:val="318E2F91"/>
    <w:rsid w:val="32746510"/>
    <w:rsid w:val="32F611A1"/>
    <w:rsid w:val="3540073E"/>
    <w:rsid w:val="39CA781C"/>
    <w:rsid w:val="39CE50A0"/>
    <w:rsid w:val="3A8D47C0"/>
    <w:rsid w:val="3AEB4BF8"/>
    <w:rsid w:val="3B870691"/>
    <w:rsid w:val="3BB26D75"/>
    <w:rsid w:val="3BCA7101"/>
    <w:rsid w:val="3D771F0D"/>
    <w:rsid w:val="3DAA586D"/>
    <w:rsid w:val="3E8E4499"/>
    <w:rsid w:val="406B4000"/>
    <w:rsid w:val="40741A04"/>
    <w:rsid w:val="40FD5F5E"/>
    <w:rsid w:val="421E3886"/>
    <w:rsid w:val="423D527E"/>
    <w:rsid w:val="42911D33"/>
    <w:rsid w:val="429B7977"/>
    <w:rsid w:val="43343C98"/>
    <w:rsid w:val="43663D19"/>
    <w:rsid w:val="4482717F"/>
    <w:rsid w:val="45644380"/>
    <w:rsid w:val="46335748"/>
    <w:rsid w:val="46EA2BF3"/>
    <w:rsid w:val="474D6D10"/>
    <w:rsid w:val="47630C50"/>
    <w:rsid w:val="47A65C47"/>
    <w:rsid w:val="48FB097F"/>
    <w:rsid w:val="49C73E1A"/>
    <w:rsid w:val="4A0067D1"/>
    <w:rsid w:val="4A0B0AFE"/>
    <w:rsid w:val="4A3A11F4"/>
    <w:rsid w:val="4F0663CE"/>
    <w:rsid w:val="4F0F3263"/>
    <w:rsid w:val="4F670EA4"/>
    <w:rsid w:val="4FD0002C"/>
    <w:rsid w:val="506B184D"/>
    <w:rsid w:val="51832895"/>
    <w:rsid w:val="51A05A56"/>
    <w:rsid w:val="526B3037"/>
    <w:rsid w:val="53A249CE"/>
    <w:rsid w:val="53EF74E3"/>
    <w:rsid w:val="548065E6"/>
    <w:rsid w:val="55A70716"/>
    <w:rsid w:val="55E609C7"/>
    <w:rsid w:val="56123415"/>
    <w:rsid w:val="568C0286"/>
    <w:rsid w:val="57782AAA"/>
    <w:rsid w:val="57B61732"/>
    <w:rsid w:val="581D5EB2"/>
    <w:rsid w:val="581F232F"/>
    <w:rsid w:val="58DF52AA"/>
    <w:rsid w:val="59CE4666"/>
    <w:rsid w:val="5A330A41"/>
    <w:rsid w:val="5B374138"/>
    <w:rsid w:val="5B602697"/>
    <w:rsid w:val="5C983330"/>
    <w:rsid w:val="5DC545E8"/>
    <w:rsid w:val="5E1442C8"/>
    <w:rsid w:val="5E753D69"/>
    <w:rsid w:val="5ED92E70"/>
    <w:rsid w:val="629D4533"/>
    <w:rsid w:val="6314713C"/>
    <w:rsid w:val="63471173"/>
    <w:rsid w:val="635B7675"/>
    <w:rsid w:val="644B5670"/>
    <w:rsid w:val="64896196"/>
    <w:rsid w:val="648E0C81"/>
    <w:rsid w:val="64BA11E3"/>
    <w:rsid w:val="65ED116B"/>
    <w:rsid w:val="668150FD"/>
    <w:rsid w:val="67F53661"/>
    <w:rsid w:val="684F3401"/>
    <w:rsid w:val="689B7F59"/>
    <w:rsid w:val="6B1B6720"/>
    <w:rsid w:val="6CF859D4"/>
    <w:rsid w:val="6D285B1A"/>
    <w:rsid w:val="6D7C3A46"/>
    <w:rsid w:val="6F3832C4"/>
    <w:rsid w:val="6FA55B9A"/>
    <w:rsid w:val="70226E99"/>
    <w:rsid w:val="705E593C"/>
    <w:rsid w:val="71D2715E"/>
    <w:rsid w:val="7321121D"/>
    <w:rsid w:val="749916C1"/>
    <w:rsid w:val="75603854"/>
    <w:rsid w:val="7595097D"/>
    <w:rsid w:val="76DE74A7"/>
    <w:rsid w:val="76EE540D"/>
    <w:rsid w:val="78ED3304"/>
    <w:rsid w:val="79087374"/>
    <w:rsid w:val="799D2F6E"/>
    <w:rsid w:val="79A921CB"/>
    <w:rsid w:val="7A04291A"/>
    <w:rsid w:val="7B8A5282"/>
    <w:rsid w:val="7BC13821"/>
    <w:rsid w:val="7CE96963"/>
    <w:rsid w:val="7D3A5D16"/>
    <w:rsid w:val="7D910137"/>
    <w:rsid w:val="7E5C65C8"/>
    <w:rsid w:val="7ED643F3"/>
    <w:rsid w:val="7FE37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4"/>
    <w:qFormat/>
    <w:uiPriority w:val="0"/>
    <w:pPr>
      <w:jc w:val="left"/>
    </w:pPr>
  </w:style>
  <w:style w:type="paragraph" w:styleId="4">
    <w:name w:val="Body Text"/>
    <w:basedOn w:val="1"/>
    <w:link w:val="23"/>
    <w:qFormat/>
    <w:uiPriority w:val="0"/>
    <w:pPr>
      <w:autoSpaceDE w:val="0"/>
      <w:autoSpaceDN w:val="0"/>
      <w:ind w:left="1040"/>
      <w:jc w:val="left"/>
    </w:pPr>
    <w:rPr>
      <w:rFonts w:ascii="Noto Sans CJK JP Regular" w:hAnsi="Noto Sans CJK JP Regular" w:eastAsia="Noto Sans CJK JP Regular" w:cs="Noto Sans CJK JP Regular"/>
      <w:kern w:val="0"/>
      <w:sz w:val="24"/>
      <w:lang w:eastAsia="en-US"/>
    </w:rPr>
  </w:style>
  <w:style w:type="paragraph" w:styleId="5">
    <w:name w:val="toc 3"/>
    <w:basedOn w:val="1"/>
    <w:next w:val="1"/>
    <w:qFormat/>
    <w:uiPriority w:val="39"/>
    <w:pPr>
      <w:ind w:left="840" w:leftChars="400"/>
    </w:pPr>
  </w:style>
  <w:style w:type="paragraph" w:styleId="6">
    <w:name w:val="Balloon Text"/>
    <w:basedOn w:val="1"/>
    <w:link w:val="22"/>
    <w:qFormat/>
    <w:uiPriority w:val="0"/>
    <w:rPr>
      <w:sz w:val="18"/>
      <w:szCs w:val="18"/>
    </w:rPr>
  </w:style>
  <w:style w:type="paragraph" w:styleId="7">
    <w:name w:val="footer"/>
    <w:link w:val="24"/>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next w:val="1"/>
    <w:qFormat/>
    <w:uiPriority w:val="39"/>
    <w:pPr>
      <w:widowControl w:val="0"/>
      <w:spacing w:before="120" w:after="120"/>
    </w:pPr>
    <w:rPr>
      <w:rFonts w:ascii="等线" w:hAnsi="Times New Roman" w:eastAsia="等线" w:cs="Times New Roman"/>
      <w:b/>
      <w:bCs/>
      <w:caps/>
      <w:kern w:val="2"/>
      <w:lang w:val="en-US" w:eastAsia="zh-CN" w:bidi="ar-SA"/>
    </w:rPr>
  </w:style>
  <w:style w:type="paragraph" w:styleId="10">
    <w:name w:val="toc 2"/>
    <w:next w:val="1"/>
    <w:qFormat/>
    <w:uiPriority w:val="39"/>
    <w:pPr>
      <w:widowControl w:val="0"/>
      <w:ind w:left="210"/>
    </w:pPr>
    <w:rPr>
      <w:rFonts w:ascii="等线" w:hAnsi="Times New Roman" w:eastAsia="等线" w:cs="Times New Roman"/>
      <w:smallCaps/>
      <w:kern w:val="2"/>
      <w:lang w:val="en-US" w:eastAsia="zh-CN" w:bidi="ar-SA"/>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styleId="12">
    <w:name w:val="annotation subject"/>
    <w:basedOn w:val="3"/>
    <w:next w:val="3"/>
    <w:link w:val="35"/>
    <w:qFormat/>
    <w:uiPriority w:val="0"/>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rFonts w:cs="Times New Roman"/>
      <w:color w:val="0000FF"/>
      <w:spacing w:val="0"/>
      <w:w w:val="100"/>
      <w:sz w:val="21"/>
      <w:u w:val="single"/>
    </w:rPr>
  </w:style>
  <w:style w:type="character" w:styleId="17">
    <w:name w:val="annotation reference"/>
    <w:basedOn w:val="15"/>
    <w:qFormat/>
    <w:uiPriority w:val="0"/>
    <w:rPr>
      <w:sz w:val="21"/>
      <w:szCs w:val="21"/>
    </w:rPr>
  </w:style>
  <w:style w:type="paragraph" w:customStyle="1" w:styleId="18">
    <w:name w:val="正文 New"/>
    <w:qFormat/>
    <w:uiPriority w:val="0"/>
    <w:pPr>
      <w:widowControl w:val="0"/>
      <w:spacing w:beforeLines="50" w:afterLines="50" w:line="440" w:lineRule="exact"/>
      <w:ind w:firstLine="640" w:firstLineChars="200"/>
      <w:jc w:val="both"/>
    </w:pPr>
    <w:rPr>
      <w:rFonts w:ascii="Times New Roman" w:hAnsi="Times New Roman" w:eastAsia="宋体" w:cs="Times New Roman"/>
      <w:sz w:val="24"/>
      <w:szCs w:val="24"/>
      <w:lang w:val="en-US" w:eastAsia="zh-CN" w:bidi="ar-SA"/>
    </w:rPr>
  </w:style>
  <w:style w:type="paragraph" w:customStyle="1" w:styleId="19">
    <w:name w:val="列表段落1"/>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20">
    <w:name w:val="表格内容"/>
    <w:qFormat/>
    <w:uiPriority w:val="99"/>
    <w:pPr>
      <w:spacing w:line="300" w:lineRule="auto"/>
    </w:pPr>
    <w:rPr>
      <w:rFonts w:ascii="宋体" w:hAnsi="Times New Roman" w:eastAsia="宋体" w:cs="宋体"/>
      <w:spacing w:val="-2"/>
      <w:sz w:val="18"/>
      <w:szCs w:val="18"/>
      <w:lang w:val="en-US" w:eastAsia="zh-CN" w:bidi="ar-SA"/>
    </w:rPr>
  </w:style>
  <w:style w:type="paragraph" w:customStyle="1" w:styleId="21">
    <w:name w:val="样式2"/>
    <w:qFormat/>
    <w:uiPriority w:val="99"/>
    <w:pPr>
      <w:widowControl w:val="0"/>
      <w:spacing w:line="440" w:lineRule="exact"/>
      <w:ind w:firstLine="480" w:firstLineChars="200"/>
      <w:jc w:val="both"/>
    </w:pPr>
    <w:rPr>
      <w:rFonts w:ascii="黑体" w:hAnsi="宋体" w:eastAsia="黑体" w:cs="黑体"/>
      <w:kern w:val="2"/>
      <w:sz w:val="24"/>
      <w:szCs w:val="24"/>
      <w:lang w:val="en-US" w:eastAsia="zh-CN" w:bidi="ar-SA"/>
    </w:rPr>
  </w:style>
  <w:style w:type="character" w:customStyle="1" w:styleId="22">
    <w:name w:val="批注框文本 字符"/>
    <w:basedOn w:val="15"/>
    <w:link w:val="6"/>
    <w:qFormat/>
    <w:uiPriority w:val="0"/>
    <w:rPr>
      <w:kern w:val="2"/>
      <w:sz w:val="18"/>
      <w:szCs w:val="18"/>
    </w:rPr>
  </w:style>
  <w:style w:type="character" w:customStyle="1" w:styleId="23">
    <w:name w:val="正文文本 字符"/>
    <w:basedOn w:val="15"/>
    <w:link w:val="4"/>
    <w:qFormat/>
    <w:uiPriority w:val="0"/>
    <w:rPr>
      <w:rFonts w:ascii="Noto Sans CJK JP Regular" w:hAnsi="Noto Sans CJK JP Regular" w:eastAsia="Noto Sans CJK JP Regular" w:cs="Noto Sans CJK JP Regular"/>
      <w:sz w:val="24"/>
      <w:szCs w:val="24"/>
      <w:lang w:eastAsia="en-US"/>
    </w:rPr>
  </w:style>
  <w:style w:type="character" w:customStyle="1" w:styleId="24">
    <w:name w:val="页脚 字符"/>
    <w:basedOn w:val="15"/>
    <w:link w:val="7"/>
    <w:qFormat/>
    <w:uiPriority w:val="99"/>
    <w:rPr>
      <w:rFonts w:ascii="Times New Roman" w:hAnsi="Times New Roman" w:eastAsia="宋体" w:cs="Times New Roman"/>
      <w:kern w:val="2"/>
      <w:sz w:val="18"/>
      <w:szCs w:val="18"/>
    </w:rPr>
  </w:style>
  <w:style w:type="paragraph" w:customStyle="1" w:styleId="25">
    <w:name w:val="列出段落1"/>
    <w:basedOn w:val="26"/>
    <w:qFormat/>
    <w:uiPriority w:val="0"/>
    <w:pPr>
      <w:ind w:firstLine="420"/>
    </w:pPr>
  </w:style>
  <w:style w:type="paragraph" w:customStyle="1" w:styleId="26">
    <w:name w:val="正文 New New New New New New New New New New New New New New New New New"/>
    <w:qFormat/>
    <w:uiPriority w:val="0"/>
    <w:pPr>
      <w:widowControl w:val="0"/>
      <w:spacing w:line="312" w:lineRule="auto"/>
      <w:ind w:firstLine="200" w:firstLineChars="200"/>
      <w:jc w:val="both"/>
    </w:pPr>
    <w:rPr>
      <w:rFonts w:ascii="Times New Roman" w:hAnsi="Times New Roman" w:eastAsia="宋体" w:cs="Times New Roman"/>
      <w:kern w:val="2"/>
      <w:sz w:val="21"/>
      <w:lang w:val="en-US" w:eastAsia="zh-CN" w:bidi="ar-SA"/>
    </w:rPr>
  </w:style>
  <w:style w:type="character" w:customStyle="1" w:styleId="27">
    <w:name w:val="font01"/>
    <w:basedOn w:val="15"/>
    <w:qFormat/>
    <w:uiPriority w:val="0"/>
    <w:rPr>
      <w:rFonts w:ascii="Times New Roman" w:hAnsi="Times New Roman" w:cs="Times New Roman"/>
      <w:b/>
      <w:color w:val="000000"/>
      <w:sz w:val="24"/>
      <w:szCs w:val="24"/>
      <w:u w:val="none"/>
    </w:rPr>
  </w:style>
  <w:style w:type="character" w:customStyle="1" w:styleId="28">
    <w:name w:val="fontstyle01"/>
    <w:basedOn w:val="15"/>
    <w:qFormat/>
    <w:uiPriority w:val="0"/>
    <w:rPr>
      <w:rFonts w:hint="eastAsia" w:ascii="宋体" w:hAnsi="宋体" w:eastAsia="宋体"/>
      <w:color w:val="000000"/>
      <w:sz w:val="22"/>
      <w:szCs w:val="22"/>
    </w:rPr>
  </w:style>
  <w:style w:type="character" w:customStyle="1" w:styleId="29">
    <w:name w:val="fontstyle21"/>
    <w:basedOn w:val="15"/>
    <w:qFormat/>
    <w:uiPriority w:val="0"/>
    <w:rPr>
      <w:rFonts w:hint="eastAsia" w:ascii="黑体" w:hAnsi="黑体" w:eastAsia="黑体"/>
      <w:color w:val="000000"/>
      <w:sz w:val="22"/>
      <w:szCs w:val="22"/>
    </w:rPr>
  </w:style>
  <w:style w:type="character" w:customStyle="1" w:styleId="30">
    <w:name w:val="页眉 字符"/>
    <w:basedOn w:val="15"/>
    <w:link w:val="8"/>
    <w:qFormat/>
    <w:uiPriority w:val="99"/>
    <w:rPr>
      <w:rFonts w:asciiTheme="minorHAnsi" w:hAnsiTheme="minorHAnsi" w:eastAsiaTheme="minorEastAsia" w:cstheme="minorBidi"/>
      <w:kern w:val="2"/>
      <w:sz w:val="18"/>
      <w:szCs w:val="24"/>
    </w:rPr>
  </w:style>
  <w:style w:type="paragraph" w:styleId="31">
    <w:name w:val="List Paragraph"/>
    <w:basedOn w:val="1"/>
    <w:unhideWhenUsed/>
    <w:qFormat/>
    <w:uiPriority w:val="99"/>
    <w:pPr>
      <w:ind w:firstLine="420" w:firstLineChars="200"/>
    </w:pPr>
  </w:style>
  <w:style w:type="paragraph" w:customStyle="1" w:styleId="32">
    <w:name w:val="段"/>
    <w:link w:val="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3">
    <w:name w:val="段 Char"/>
    <w:link w:val="32"/>
    <w:qFormat/>
    <w:locked/>
    <w:uiPriority w:val="0"/>
    <w:rPr>
      <w:rFonts w:ascii="宋体"/>
      <w:sz w:val="21"/>
    </w:rPr>
  </w:style>
  <w:style w:type="character" w:customStyle="1" w:styleId="34">
    <w:name w:val="批注文字 字符"/>
    <w:basedOn w:val="15"/>
    <w:link w:val="3"/>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52EC-91C7-461D-B516-0EA1B7365CED}">
  <ds:schemaRefs/>
</ds:datastoreItem>
</file>

<file path=docProps/app.xml><?xml version="1.0" encoding="utf-8"?>
<Properties xmlns="http://schemas.openxmlformats.org/officeDocument/2006/extended-properties" xmlns:vt="http://schemas.openxmlformats.org/officeDocument/2006/docPropsVTypes">
  <Template>Normal</Template>
  <Pages>15</Pages>
  <Words>3769</Words>
  <Characters>3831</Characters>
  <Lines>352</Lines>
  <Paragraphs>385</Paragraphs>
  <TotalTime>28</TotalTime>
  <ScaleCrop>false</ScaleCrop>
  <LinksUpToDate>false</LinksUpToDate>
  <CharactersWithSpaces>3840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2020-08-19T07:05:00Z</dcterms:created>
  <dc:creator>Administrator</dc:creator>
  <cp:lastModifiedBy>ALLEN</cp:lastModifiedBy>
  <dcterms:modified xsi:type="dcterms:W3CDTF">2026-05-21T07:37:12Z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B883AA9055054E09A7EF0F9AD756038D</vt:lpwstr>
  </property>
  <property fmtid="{D5CDD505-2E9C-101B-9397-08002B2CF9AE}" pid="4" name="KSOTemplateDocerSaveRecord">
    <vt:lpwstr>eyJoZGlkIjoiYmZjMTJhYjIxM2M0NGUwMDFjNjIxNzg0ZmY4NmVjOTciLCJ1c2VySWQiOiI1MzA3NDI1NjAifQ==</vt:lpwstr>
  </property>
</Properties>
</file>